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25" w:type="dxa"/>
        <w:jc w:val="center"/>
        <w:tblBorders>
          <w:insideH w:val="single" w:sz="4" w:space="0" w:color="auto"/>
          <w:insideV w:val="single" w:sz="4" w:space="0" w:color="auto"/>
        </w:tblBorders>
        <w:tblLook w:val="01E0" w:firstRow="1" w:lastRow="1" w:firstColumn="1" w:lastColumn="1" w:noHBand="0" w:noVBand="0"/>
      </w:tblPr>
      <w:tblGrid>
        <w:gridCol w:w="2667"/>
        <w:gridCol w:w="4061"/>
        <w:gridCol w:w="2297"/>
      </w:tblGrid>
      <w:tr w:rsidR="00CD5408" w:rsidTr="00284E22">
        <w:trPr>
          <w:trHeight w:val="1287"/>
          <w:jc w:val="center"/>
        </w:trPr>
        <w:tc>
          <w:tcPr>
            <w:tcW w:w="2667" w:type="dxa"/>
            <w:tcBorders>
              <w:top w:val="nil"/>
              <w:bottom w:val="nil"/>
              <w:right w:val="nil"/>
            </w:tcBorders>
            <w:hideMark/>
          </w:tcPr>
          <w:p w:rsidR="00CD5408" w:rsidRDefault="009937C2">
            <w:pPr>
              <w:ind w:hanging="10"/>
              <w:jc w:val="left"/>
            </w:pPr>
            <w:r>
              <w:rPr>
                <w:noProof/>
                <w:lang w:val="en-US"/>
              </w:rPr>
              <mc:AlternateContent>
                <mc:Choice Requires="wps">
                  <w:drawing>
                    <wp:anchor distT="4294967295" distB="4294967295" distL="114300" distR="114300" simplePos="0" relativeHeight="251657728" behindDoc="0" locked="0" layoutInCell="1" allowOverlap="1">
                      <wp:simplePos x="0" y="0"/>
                      <wp:positionH relativeFrom="column">
                        <wp:posOffset>-82550</wp:posOffset>
                      </wp:positionH>
                      <wp:positionV relativeFrom="paragraph">
                        <wp:posOffset>621029</wp:posOffset>
                      </wp:positionV>
                      <wp:extent cx="5756910" cy="0"/>
                      <wp:effectExtent l="0" t="0" r="34290"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56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941F73" id="Line 10"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pt,48.9pt" to="446.8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qtUGgIAADMEAAAOAAAAZHJzL2Uyb0RvYy54bWysU02P2yAQvVfqf0DcE9tZJ5tYcVaVnfSS&#10;diPttncCOEbFgIDEiar+9w7ko9n2UlX1AQ/MzOPNm2H+dOwkOnDrhFYlzoYpRlxRzYTalfjL62ow&#10;xch5ohiRWvESn7jDT4v37+a9KfhIt1oybhGAKFf0psSt96ZIEkdb3hE31IYrcDbadsTD1u4SZkkP&#10;6J1MRmk6SXptmbGacufgtD478SLiNw2n/rlpHPdIlhi4+bjauG7DmizmpNhZYlpBLzTIP7DoiFBw&#10;6Q2qJp6gvRV/QHWCWu1044dUd4luGkF5rAGqydLfqnlpieGxFhDHmZtM7v/B0s+HjUWClfgBI0U6&#10;aNFaKI6yKE1vXAERldrYUBw9qhez1vSbQ0pXLVE7Him+ngzkZUHM5E1K2DgDF2z7T5pBDNl7HXU6&#10;NrZDjRTma0gM4KAFOsbGnG6N4UePKByOH8eTGVBC9OpLSBEgQqKxzn/kukPBKLEE+hGQHNbOB0q/&#10;QkK40ishZey7VKgv8Ww8GscEp6VgwRnCnN1tK2nRgYTJiV+sDzz3YVbvFYtgLSdsebE9EfJsw+VS&#10;BTwoBehcrPNofJ+ls+V0Oc0H+WiyHORpXQ8+rKp8MFllj+P6oa6qOvsRqGV50QrGuArsrmOa5X83&#10;BpcHcx6w26DeZEjeoke9gOz1H0nHroZGhnfliq1mp429dhsmMwZfXlEY/fs92PdvffETAAD//wMA&#10;UEsDBBQABgAIAAAAIQD9ADoS3QAAAAkBAAAPAAAAZHJzL2Rvd25yZXYueG1sTI/BTsMwDIbvSLxD&#10;ZCRuW7pVGmvXdJoQcEFCYhTOaeO1FYlTNVlX3h4jDnC0/ev39xX72Vkx4Rh6TwpWywQEUuNNT62C&#10;6u1xsQURoiajrSdU8IUB9uX1VaFz4y/0itMxtoJLKORaQRfjkEsZmg6dDks/IPHt5EenI49jK82o&#10;L1zurFwnyUY63RN/6PSA9x02n8ezU3D4eH5IX6baeWuytno3rkqe1krd3syHHYiIc/wLww8+o0PJ&#10;TLU/kwnCKlisUnaJCrI7VuDANks3IOrfhSwL+d+g/AYAAP//AwBQSwECLQAUAAYACAAAACEAtoM4&#10;kv4AAADhAQAAEwAAAAAAAAAAAAAAAAAAAAAAW0NvbnRlbnRfVHlwZXNdLnhtbFBLAQItABQABgAI&#10;AAAAIQA4/SH/1gAAAJQBAAALAAAAAAAAAAAAAAAAAC8BAABfcmVscy8ucmVsc1BLAQItABQABgAI&#10;AAAAIQBB5qtUGgIAADMEAAAOAAAAAAAAAAAAAAAAAC4CAABkcnMvZTJvRG9jLnhtbFBLAQItABQA&#10;BgAIAAAAIQD9ADoS3QAAAAkBAAAPAAAAAAAAAAAAAAAAAHQEAABkcnMvZG93bnJldi54bWxQSwUG&#10;AAAAAAQABADzAAAAfgUAAAAA&#10;"/>
                  </w:pict>
                </mc:Fallback>
              </mc:AlternateContent>
            </w:r>
          </w:p>
        </w:tc>
        <w:tc>
          <w:tcPr>
            <w:tcW w:w="4061" w:type="dxa"/>
            <w:tcBorders>
              <w:left w:val="nil"/>
              <w:right w:val="nil"/>
            </w:tcBorders>
            <w:hideMark/>
          </w:tcPr>
          <w:p w:rsidR="00CD5408" w:rsidRDefault="0016334B">
            <w:pPr>
              <w:jc w:val="left"/>
            </w:pPr>
            <w:r>
              <w:rPr>
                <w:noProof/>
                <w:lang w:val="en-US"/>
              </w:rPr>
              <w:drawing>
                <wp:inline distT="0" distB="0" distL="0" distR="0">
                  <wp:extent cx="2441575" cy="707390"/>
                  <wp:effectExtent l="0" t="0" r="0" b="0"/>
                  <wp:docPr id="1" name="Picture 1" descr="IMO-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O-logo-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1575" cy="707390"/>
                          </a:xfrm>
                          <a:prstGeom prst="rect">
                            <a:avLst/>
                          </a:prstGeom>
                          <a:noFill/>
                          <a:ln>
                            <a:noFill/>
                          </a:ln>
                        </pic:spPr>
                      </pic:pic>
                    </a:graphicData>
                  </a:graphic>
                </wp:inline>
              </w:drawing>
            </w:r>
          </w:p>
        </w:tc>
        <w:tc>
          <w:tcPr>
            <w:tcW w:w="2297" w:type="dxa"/>
            <w:tcBorders>
              <w:top w:val="nil"/>
              <w:left w:val="nil"/>
              <w:bottom w:val="nil"/>
            </w:tcBorders>
            <w:hideMark/>
          </w:tcPr>
          <w:p w:rsidR="00CD5408" w:rsidRDefault="00CD5408">
            <w:pPr>
              <w:jc w:val="right"/>
            </w:pPr>
            <w:r>
              <w:rPr>
                <w:b/>
                <w:i/>
                <w:sz w:val="48"/>
                <w:szCs w:val="48"/>
              </w:rPr>
              <w:t>E</w:t>
            </w:r>
          </w:p>
        </w:tc>
      </w:tr>
    </w:tbl>
    <w:p w:rsidR="00284E22" w:rsidRDefault="00284E22" w:rsidP="00284E22">
      <w:bookmarkStart w:id="0" w:name="headings"/>
      <w:bookmarkEnd w:id="0"/>
    </w:p>
    <w:tbl>
      <w:tblPr>
        <w:tblW w:w="9157" w:type="dxa"/>
        <w:jc w:val="center"/>
        <w:tblLayout w:type="fixed"/>
        <w:tblCellMar>
          <w:left w:w="60" w:type="dxa"/>
          <w:right w:w="60" w:type="dxa"/>
        </w:tblCellMar>
        <w:tblLook w:val="0000" w:firstRow="0" w:lastRow="0" w:firstColumn="0" w:lastColumn="0" w:noHBand="0" w:noVBand="0"/>
      </w:tblPr>
      <w:tblGrid>
        <w:gridCol w:w="4692"/>
        <w:gridCol w:w="4465"/>
      </w:tblGrid>
      <w:tr w:rsidR="00284E22" w:rsidTr="0008124E">
        <w:trPr>
          <w:jc w:val="center"/>
        </w:trPr>
        <w:tc>
          <w:tcPr>
            <w:tcW w:w="4692" w:type="dxa"/>
          </w:tcPr>
          <w:p w:rsidR="00284E22" w:rsidRDefault="00284E22" w:rsidP="0008124E">
            <w:pPr>
              <w:spacing w:line="120" w:lineRule="exact"/>
              <w:jc w:val="left"/>
            </w:pPr>
          </w:p>
          <w:p w:rsidR="00284E22" w:rsidRDefault="009054BF" w:rsidP="0008124E">
            <w:pPr>
              <w:jc w:val="left"/>
            </w:pPr>
            <w:bookmarkStart w:id="1" w:name="sub_committee"/>
            <w:bookmarkEnd w:id="1"/>
            <w:r>
              <w:t>LEGAL COMMITTEE</w:t>
            </w:r>
          </w:p>
          <w:p w:rsidR="00284E22" w:rsidRDefault="009054BF" w:rsidP="0008124E">
            <w:pPr>
              <w:jc w:val="left"/>
            </w:pPr>
            <w:bookmarkStart w:id="2" w:name="session"/>
            <w:bookmarkEnd w:id="2"/>
            <w:r>
              <w:t>103</w:t>
            </w:r>
            <w:r w:rsidRPr="009054BF">
              <w:rPr>
                <w:vertAlign w:val="superscript"/>
              </w:rPr>
              <w:t>rd</w:t>
            </w:r>
            <w:r>
              <w:t xml:space="preserve"> SESSION</w:t>
            </w:r>
          </w:p>
          <w:p w:rsidR="00284E22" w:rsidRDefault="00284E22" w:rsidP="0008124E">
            <w:pPr>
              <w:spacing w:after="58"/>
              <w:jc w:val="left"/>
            </w:pPr>
            <w:r>
              <w:t xml:space="preserve">Agenda item </w:t>
            </w:r>
            <w:bookmarkStart w:id="3" w:name="agenda"/>
            <w:bookmarkEnd w:id="3"/>
            <w:r w:rsidR="009054BF">
              <w:t>3</w:t>
            </w:r>
          </w:p>
        </w:tc>
        <w:tc>
          <w:tcPr>
            <w:tcW w:w="4465" w:type="dxa"/>
          </w:tcPr>
          <w:p w:rsidR="00284E22" w:rsidRPr="009054BF" w:rsidRDefault="00284E22" w:rsidP="0008124E">
            <w:pPr>
              <w:spacing w:line="120" w:lineRule="exact"/>
              <w:jc w:val="right"/>
              <w:rPr>
                <w:lang w:val="en-US"/>
              </w:rPr>
            </w:pPr>
          </w:p>
          <w:p w:rsidR="00284E22" w:rsidRPr="006C241F" w:rsidRDefault="006C241F" w:rsidP="0008124E">
            <w:pPr>
              <w:tabs>
                <w:tab w:val="clear" w:pos="851"/>
              </w:tabs>
              <w:jc w:val="right"/>
              <w:rPr>
                <w:lang w:val="en-US"/>
              </w:rPr>
            </w:pPr>
            <w:bookmarkStart w:id="4" w:name="symbol"/>
            <w:bookmarkEnd w:id="4"/>
            <w:r>
              <w:rPr>
                <w:lang w:val="en-US"/>
              </w:rPr>
              <w:t>LEG 103/3/2</w:t>
            </w:r>
          </w:p>
          <w:p w:rsidR="00284E22" w:rsidRPr="006C241F" w:rsidRDefault="006C241F" w:rsidP="0008124E">
            <w:pPr>
              <w:tabs>
                <w:tab w:val="clear" w:pos="851"/>
              </w:tabs>
              <w:jc w:val="right"/>
              <w:rPr>
                <w:lang w:val="en-US"/>
              </w:rPr>
            </w:pPr>
            <w:bookmarkStart w:id="5" w:name="date"/>
            <w:bookmarkEnd w:id="5"/>
            <w:r>
              <w:rPr>
                <w:lang w:val="en-US"/>
              </w:rPr>
              <w:t>XX</w:t>
            </w:r>
            <w:r w:rsidR="00284E22" w:rsidRPr="006C241F">
              <w:rPr>
                <w:lang w:val="en-US"/>
              </w:rPr>
              <w:t xml:space="preserve"> </w:t>
            </w:r>
            <w:r>
              <w:rPr>
                <w:lang w:val="en-US"/>
              </w:rPr>
              <w:t>April</w:t>
            </w:r>
            <w:r w:rsidR="00284E22" w:rsidRPr="006C241F">
              <w:rPr>
                <w:lang w:val="en-US"/>
              </w:rPr>
              <w:t xml:space="preserve"> 2016</w:t>
            </w:r>
          </w:p>
          <w:p w:rsidR="00284E22" w:rsidRDefault="00284E22" w:rsidP="0008124E">
            <w:pPr>
              <w:tabs>
                <w:tab w:val="clear" w:pos="851"/>
              </w:tabs>
              <w:spacing w:after="58"/>
              <w:ind w:left="-924"/>
              <w:jc w:val="right"/>
            </w:pPr>
            <w:bookmarkStart w:id="6" w:name="language"/>
            <w:bookmarkEnd w:id="6"/>
            <w:r>
              <w:t>Original: ENGLISH</w:t>
            </w:r>
          </w:p>
        </w:tc>
      </w:tr>
    </w:tbl>
    <w:p w:rsidR="00284E22" w:rsidRDefault="00284E22" w:rsidP="00284E22">
      <w:pPr>
        <w:tabs>
          <w:tab w:val="clear" w:pos="851"/>
        </w:tabs>
      </w:pPr>
    </w:p>
    <w:p w:rsidR="009054BF" w:rsidRDefault="009054BF" w:rsidP="009054BF">
      <w:pPr>
        <w:tabs>
          <w:tab w:val="clear" w:pos="851"/>
        </w:tabs>
        <w:jc w:val="center"/>
        <w:rPr>
          <w:rFonts w:ascii="Arial Bold" w:hAnsi="Arial Bold"/>
          <w:b/>
          <w:caps/>
        </w:rPr>
      </w:pPr>
      <w:r>
        <w:rPr>
          <w:rFonts w:ascii="Arial Bold" w:hAnsi="Arial Bold"/>
          <w:b/>
          <w:caps/>
        </w:rPr>
        <w:t>facilitation of the entry into force and harmonized interpretation of the 2010 hns protocol</w:t>
      </w:r>
    </w:p>
    <w:p w:rsidR="00284E22" w:rsidRDefault="00284E22" w:rsidP="00284E22">
      <w:pPr>
        <w:tabs>
          <w:tab w:val="clear" w:pos="851"/>
        </w:tabs>
        <w:jc w:val="center"/>
        <w:rPr>
          <w:rFonts w:ascii="Arial Bold" w:hAnsi="Arial Bold"/>
          <w:b/>
          <w:caps/>
        </w:rPr>
      </w:pPr>
    </w:p>
    <w:p w:rsidR="009054BF" w:rsidRPr="009054BF" w:rsidRDefault="009054BF" w:rsidP="00284E22">
      <w:pPr>
        <w:tabs>
          <w:tab w:val="clear" w:pos="851"/>
        </w:tabs>
        <w:jc w:val="center"/>
        <w:rPr>
          <w:rFonts w:ascii="Arial Bold" w:hAnsi="Arial Bold"/>
          <w:b/>
        </w:rPr>
      </w:pPr>
      <w:r w:rsidRPr="009054BF">
        <w:rPr>
          <w:rFonts w:ascii="Arial Bold" w:hAnsi="Arial Bold"/>
          <w:b/>
        </w:rPr>
        <w:t>Proposed resolution on the implementation and entry into force of the 2010 HNS Protocol</w:t>
      </w:r>
    </w:p>
    <w:p w:rsidR="00284E22" w:rsidRDefault="00284E22" w:rsidP="00284E22">
      <w:pPr>
        <w:tabs>
          <w:tab w:val="clear" w:pos="851"/>
        </w:tabs>
        <w:jc w:val="center"/>
        <w:rPr>
          <w:b/>
        </w:rPr>
      </w:pPr>
    </w:p>
    <w:p w:rsidR="00296ABD" w:rsidRDefault="00284E22" w:rsidP="006C241F">
      <w:pPr>
        <w:tabs>
          <w:tab w:val="clear" w:pos="851"/>
        </w:tabs>
        <w:jc w:val="center"/>
        <w:rPr>
          <w:b/>
        </w:rPr>
      </w:pPr>
      <w:r>
        <w:rPr>
          <w:b/>
        </w:rPr>
        <w:t>Submitted by</w:t>
      </w:r>
      <w:r w:rsidR="002E7EEA">
        <w:rPr>
          <w:b/>
        </w:rPr>
        <w:t xml:space="preserve"> Canada</w:t>
      </w:r>
      <w:r>
        <w:rPr>
          <w:b/>
        </w:rPr>
        <w:t xml:space="preserve"> [</w:t>
      </w:r>
      <w:r w:rsidR="002E7EEA">
        <w:rPr>
          <w:b/>
        </w:rPr>
        <w:t>…</w:t>
      </w:r>
      <w:r>
        <w:rPr>
          <w:b/>
        </w:rPr>
        <w:t>]</w:t>
      </w:r>
    </w:p>
    <w:p w:rsidR="006C241F" w:rsidRDefault="006C241F" w:rsidP="006C241F">
      <w:pPr>
        <w:tabs>
          <w:tab w:val="clear" w:pos="851"/>
        </w:tabs>
        <w:jc w:val="center"/>
      </w:pPr>
    </w:p>
    <w:p w:rsidR="006C241F" w:rsidRDefault="006C241F" w:rsidP="006C241F">
      <w:pPr>
        <w:tabs>
          <w:tab w:val="clear" w:pos="851"/>
        </w:tabs>
        <w:jc w:val="center"/>
      </w:pPr>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132" w:type="dxa"/>
          <w:right w:w="132" w:type="dxa"/>
        </w:tblCellMar>
        <w:tblLook w:val="0000" w:firstRow="0" w:lastRow="0" w:firstColumn="0" w:lastColumn="0" w:noHBand="0" w:noVBand="0"/>
      </w:tblPr>
      <w:tblGrid>
        <w:gridCol w:w="2245"/>
        <w:gridCol w:w="6755"/>
      </w:tblGrid>
      <w:tr w:rsidR="00A804CC" w:rsidRPr="00FF7C33">
        <w:trPr>
          <w:jc w:val="center"/>
        </w:trPr>
        <w:tc>
          <w:tcPr>
            <w:tcW w:w="9000" w:type="dxa"/>
            <w:gridSpan w:val="2"/>
            <w:tcMar>
              <w:top w:w="85" w:type="dxa"/>
              <w:left w:w="85" w:type="dxa"/>
              <w:bottom w:w="85" w:type="dxa"/>
              <w:right w:w="85" w:type="dxa"/>
            </w:tcMar>
          </w:tcPr>
          <w:p w:rsidR="00A804CC" w:rsidRPr="00FF7C33" w:rsidRDefault="00A804CC">
            <w:pPr>
              <w:spacing w:line="120" w:lineRule="exact"/>
              <w:rPr>
                <w:bCs/>
              </w:rPr>
            </w:pPr>
          </w:p>
          <w:p w:rsidR="00A804CC" w:rsidRPr="00FF7C33" w:rsidRDefault="00A804CC" w:rsidP="00771EB2">
            <w:pPr>
              <w:tabs>
                <w:tab w:val="clear" w:pos="851"/>
              </w:tabs>
              <w:spacing w:after="58"/>
              <w:jc w:val="center"/>
              <w:rPr>
                <w:b/>
              </w:rPr>
            </w:pPr>
            <w:r w:rsidRPr="00FF7C33">
              <w:rPr>
                <w:b/>
              </w:rPr>
              <w:t>SUMMARY</w:t>
            </w:r>
          </w:p>
        </w:tc>
      </w:tr>
      <w:tr w:rsidR="00A804CC" w:rsidRPr="00FF7C33">
        <w:trPr>
          <w:jc w:val="center"/>
        </w:trPr>
        <w:tc>
          <w:tcPr>
            <w:tcW w:w="2245" w:type="dxa"/>
            <w:tcMar>
              <w:top w:w="85" w:type="dxa"/>
              <w:left w:w="85" w:type="dxa"/>
              <w:bottom w:w="85" w:type="dxa"/>
              <w:right w:w="85" w:type="dxa"/>
            </w:tcMar>
          </w:tcPr>
          <w:p w:rsidR="00A804CC" w:rsidRPr="00FF7C33" w:rsidRDefault="00A804CC" w:rsidP="00C4608F">
            <w:pPr>
              <w:spacing w:after="58"/>
              <w:rPr>
                <w:bCs/>
              </w:rPr>
            </w:pPr>
            <w:r w:rsidRPr="00FF7C33">
              <w:rPr>
                <w:bCs/>
                <w:i/>
              </w:rPr>
              <w:t>Executive summary:</w:t>
            </w:r>
          </w:p>
        </w:tc>
        <w:tc>
          <w:tcPr>
            <w:tcW w:w="6755" w:type="dxa"/>
            <w:tcMar>
              <w:top w:w="85" w:type="dxa"/>
              <w:left w:w="85" w:type="dxa"/>
              <w:bottom w:w="85" w:type="dxa"/>
              <w:right w:w="85" w:type="dxa"/>
            </w:tcMar>
          </w:tcPr>
          <w:p w:rsidR="00A804CC" w:rsidRPr="00FF7C33" w:rsidRDefault="00636377" w:rsidP="00391C8D">
            <w:pPr>
              <w:tabs>
                <w:tab w:val="clear" w:pos="851"/>
              </w:tabs>
              <w:spacing w:after="58"/>
              <w:rPr>
                <w:bCs/>
              </w:rPr>
            </w:pPr>
            <w:bookmarkStart w:id="7" w:name="Execsum"/>
            <w:bookmarkEnd w:id="7"/>
            <w:r>
              <w:rPr>
                <w:bCs/>
              </w:rPr>
              <w:t xml:space="preserve">This document </w:t>
            </w:r>
            <w:r w:rsidR="00391C8D">
              <w:rPr>
                <w:bCs/>
              </w:rPr>
              <w:t>proposes</w:t>
            </w:r>
            <w:r w:rsidR="009054BF">
              <w:rPr>
                <w:bCs/>
              </w:rPr>
              <w:t xml:space="preserve"> a </w:t>
            </w:r>
            <w:r w:rsidR="009054BF" w:rsidRPr="005B6861">
              <w:rPr>
                <w:rFonts w:cs="Arial"/>
              </w:rPr>
              <w:t xml:space="preserve">draft resolution on the implementation and entry into force of the </w:t>
            </w:r>
            <w:r w:rsidR="00391C8D">
              <w:rPr>
                <w:rFonts w:cs="Arial"/>
              </w:rPr>
              <w:t>2010 HNS form the consideration of the Legal Committee and onward transmission to the Assembly</w:t>
            </w:r>
            <w:r>
              <w:rPr>
                <w:bCs/>
              </w:rPr>
              <w:t>.</w:t>
            </w:r>
            <w:r w:rsidR="009054BF">
              <w:rPr>
                <w:bCs/>
              </w:rPr>
              <w:t xml:space="preserve"> </w:t>
            </w:r>
            <w:r>
              <w:rPr>
                <w:bCs/>
              </w:rPr>
              <w:t xml:space="preserve"> </w:t>
            </w:r>
          </w:p>
        </w:tc>
      </w:tr>
      <w:tr w:rsidR="00FD403B" w:rsidRPr="00FF7C33">
        <w:trPr>
          <w:jc w:val="center"/>
        </w:trPr>
        <w:tc>
          <w:tcPr>
            <w:tcW w:w="2245" w:type="dxa"/>
            <w:tcMar>
              <w:top w:w="85" w:type="dxa"/>
              <w:left w:w="85" w:type="dxa"/>
              <w:bottom w:w="85" w:type="dxa"/>
              <w:right w:w="85" w:type="dxa"/>
            </w:tcMar>
          </w:tcPr>
          <w:p w:rsidR="00FD403B" w:rsidRPr="00FF7C33" w:rsidRDefault="00FD403B" w:rsidP="00C4608F">
            <w:pPr>
              <w:spacing w:after="58"/>
              <w:rPr>
                <w:bCs/>
              </w:rPr>
            </w:pPr>
            <w:r w:rsidRPr="00FF7C33">
              <w:rPr>
                <w:bCs/>
                <w:i/>
              </w:rPr>
              <w:t xml:space="preserve">Strategic </w:t>
            </w:r>
            <w:r w:rsidR="00E27F2D" w:rsidRPr="00FF7C33">
              <w:rPr>
                <w:bCs/>
                <w:i/>
              </w:rPr>
              <w:t>d</w:t>
            </w:r>
            <w:r w:rsidRPr="00FF7C33">
              <w:rPr>
                <w:bCs/>
                <w:i/>
              </w:rPr>
              <w:t>irection</w:t>
            </w:r>
            <w:r w:rsidR="008B11BA" w:rsidRPr="00FF7C33">
              <w:rPr>
                <w:bCs/>
                <w:i/>
              </w:rPr>
              <w:t>:</w:t>
            </w:r>
          </w:p>
        </w:tc>
        <w:tc>
          <w:tcPr>
            <w:tcW w:w="6755" w:type="dxa"/>
            <w:tcMar>
              <w:top w:w="85" w:type="dxa"/>
              <w:left w:w="85" w:type="dxa"/>
              <w:bottom w:w="85" w:type="dxa"/>
              <w:right w:w="85" w:type="dxa"/>
            </w:tcMar>
          </w:tcPr>
          <w:p w:rsidR="00FD403B" w:rsidRPr="00FF7C33" w:rsidRDefault="008820C2" w:rsidP="00771EB2">
            <w:pPr>
              <w:tabs>
                <w:tab w:val="clear" w:pos="851"/>
              </w:tabs>
              <w:spacing w:after="58"/>
              <w:rPr>
                <w:bCs/>
              </w:rPr>
            </w:pPr>
            <w:bookmarkStart w:id="8" w:name="StraDir"/>
            <w:bookmarkEnd w:id="8"/>
            <w:r>
              <w:rPr>
                <w:bCs/>
              </w:rPr>
              <w:t>2</w:t>
            </w:r>
          </w:p>
        </w:tc>
      </w:tr>
      <w:tr w:rsidR="008B11BA" w:rsidRPr="00FF7C33">
        <w:trPr>
          <w:jc w:val="center"/>
        </w:trPr>
        <w:tc>
          <w:tcPr>
            <w:tcW w:w="2245" w:type="dxa"/>
            <w:tcMar>
              <w:top w:w="85" w:type="dxa"/>
              <w:left w:w="85" w:type="dxa"/>
              <w:bottom w:w="85" w:type="dxa"/>
              <w:right w:w="85" w:type="dxa"/>
            </w:tcMar>
          </w:tcPr>
          <w:p w:rsidR="008B11BA" w:rsidRPr="00FF7C33" w:rsidRDefault="00E27F2D" w:rsidP="00C4608F">
            <w:pPr>
              <w:spacing w:after="58"/>
              <w:rPr>
                <w:bCs/>
              </w:rPr>
            </w:pPr>
            <w:r w:rsidRPr="00FF7C33">
              <w:rPr>
                <w:bCs/>
                <w:i/>
              </w:rPr>
              <w:t>High-level a</w:t>
            </w:r>
            <w:r w:rsidR="008B11BA" w:rsidRPr="00FF7C33">
              <w:rPr>
                <w:bCs/>
                <w:i/>
              </w:rPr>
              <w:t>ction:</w:t>
            </w:r>
          </w:p>
        </w:tc>
        <w:tc>
          <w:tcPr>
            <w:tcW w:w="6755" w:type="dxa"/>
            <w:tcMar>
              <w:top w:w="85" w:type="dxa"/>
              <w:left w:w="85" w:type="dxa"/>
              <w:bottom w:w="85" w:type="dxa"/>
              <w:right w:w="85" w:type="dxa"/>
            </w:tcMar>
          </w:tcPr>
          <w:p w:rsidR="008B11BA" w:rsidRPr="00FF7C33" w:rsidRDefault="008820C2" w:rsidP="00771EB2">
            <w:pPr>
              <w:tabs>
                <w:tab w:val="clear" w:pos="851"/>
              </w:tabs>
              <w:spacing w:after="58"/>
              <w:rPr>
                <w:bCs/>
              </w:rPr>
            </w:pPr>
            <w:bookmarkStart w:id="9" w:name="HighAct"/>
            <w:bookmarkEnd w:id="9"/>
            <w:r>
              <w:rPr>
                <w:bCs/>
              </w:rPr>
              <w:t>2.0.1</w:t>
            </w:r>
          </w:p>
        </w:tc>
      </w:tr>
      <w:tr w:rsidR="00D725D6" w:rsidRPr="00FF7C33">
        <w:trPr>
          <w:jc w:val="center"/>
        </w:trPr>
        <w:tc>
          <w:tcPr>
            <w:tcW w:w="2245" w:type="dxa"/>
            <w:tcMar>
              <w:top w:w="85" w:type="dxa"/>
              <w:left w:w="85" w:type="dxa"/>
              <w:bottom w:w="85" w:type="dxa"/>
              <w:right w:w="85" w:type="dxa"/>
            </w:tcMar>
          </w:tcPr>
          <w:p w:rsidR="00D725D6" w:rsidRPr="00FF7C33" w:rsidRDefault="00E371B8" w:rsidP="00C4608F">
            <w:pPr>
              <w:spacing w:after="58"/>
              <w:rPr>
                <w:bCs/>
              </w:rPr>
            </w:pPr>
            <w:r>
              <w:rPr>
                <w:bCs/>
                <w:i/>
              </w:rPr>
              <w:t>O</w:t>
            </w:r>
            <w:r w:rsidR="00D725D6" w:rsidRPr="00FF7C33">
              <w:rPr>
                <w:bCs/>
                <w:i/>
              </w:rPr>
              <w:t>utput:</w:t>
            </w:r>
          </w:p>
        </w:tc>
        <w:tc>
          <w:tcPr>
            <w:tcW w:w="6755" w:type="dxa"/>
            <w:tcMar>
              <w:top w:w="85" w:type="dxa"/>
              <w:left w:w="85" w:type="dxa"/>
              <w:bottom w:w="85" w:type="dxa"/>
              <w:right w:w="85" w:type="dxa"/>
            </w:tcMar>
          </w:tcPr>
          <w:p w:rsidR="00D725D6" w:rsidRPr="00FF7C33" w:rsidRDefault="008820C2" w:rsidP="00771EB2">
            <w:pPr>
              <w:tabs>
                <w:tab w:val="clear" w:pos="851"/>
              </w:tabs>
              <w:spacing w:after="58"/>
              <w:rPr>
                <w:bCs/>
              </w:rPr>
            </w:pPr>
            <w:bookmarkStart w:id="10" w:name="PlanOut"/>
            <w:bookmarkEnd w:id="10"/>
            <w:r>
              <w:rPr>
                <w:bCs/>
              </w:rPr>
              <w:t>2.0.1.4</w:t>
            </w:r>
          </w:p>
        </w:tc>
      </w:tr>
      <w:tr w:rsidR="00A804CC" w:rsidRPr="00FF7C33">
        <w:trPr>
          <w:jc w:val="center"/>
        </w:trPr>
        <w:tc>
          <w:tcPr>
            <w:tcW w:w="2245" w:type="dxa"/>
            <w:tcMar>
              <w:top w:w="85" w:type="dxa"/>
              <w:left w:w="85" w:type="dxa"/>
              <w:bottom w:w="85" w:type="dxa"/>
              <w:right w:w="85" w:type="dxa"/>
            </w:tcMar>
          </w:tcPr>
          <w:p w:rsidR="00A804CC" w:rsidRPr="00C16736" w:rsidRDefault="00A804CC" w:rsidP="004D2DEE">
            <w:pPr>
              <w:spacing w:after="58"/>
              <w:rPr>
                <w:bCs/>
              </w:rPr>
            </w:pPr>
            <w:r w:rsidRPr="00FF7C33">
              <w:rPr>
                <w:bCs/>
                <w:i/>
              </w:rPr>
              <w:t>Action to be taken:</w:t>
            </w:r>
            <w:r w:rsidR="004D2DEE">
              <w:rPr>
                <w:bCs/>
                <w:i/>
              </w:rPr>
              <w:t xml:space="preserve"> </w:t>
            </w:r>
          </w:p>
        </w:tc>
        <w:tc>
          <w:tcPr>
            <w:tcW w:w="6755" w:type="dxa"/>
            <w:tcMar>
              <w:top w:w="85" w:type="dxa"/>
              <w:left w:w="85" w:type="dxa"/>
              <w:bottom w:w="85" w:type="dxa"/>
              <w:right w:w="85" w:type="dxa"/>
            </w:tcMar>
          </w:tcPr>
          <w:p w:rsidR="00A804CC" w:rsidRPr="00FF7C33" w:rsidRDefault="004D2DEE" w:rsidP="00771EB2">
            <w:pPr>
              <w:tabs>
                <w:tab w:val="clear" w:pos="851"/>
              </w:tabs>
              <w:spacing w:after="58"/>
              <w:rPr>
                <w:bCs/>
              </w:rPr>
            </w:pPr>
            <w:bookmarkStart w:id="11" w:name="Action"/>
            <w:bookmarkEnd w:id="11"/>
            <w:r>
              <w:rPr>
                <w:bCs/>
              </w:rPr>
              <w:t>Paragraph 7</w:t>
            </w:r>
          </w:p>
        </w:tc>
      </w:tr>
      <w:tr w:rsidR="00A804CC" w:rsidRPr="00FF7C33">
        <w:trPr>
          <w:jc w:val="center"/>
        </w:trPr>
        <w:tc>
          <w:tcPr>
            <w:tcW w:w="2245" w:type="dxa"/>
            <w:tcMar>
              <w:top w:w="85" w:type="dxa"/>
              <w:left w:w="85" w:type="dxa"/>
              <w:bottom w:w="85" w:type="dxa"/>
              <w:right w:w="85" w:type="dxa"/>
            </w:tcMar>
          </w:tcPr>
          <w:p w:rsidR="00A804CC" w:rsidRPr="00FF7C33" w:rsidRDefault="00A804CC" w:rsidP="00C4608F">
            <w:pPr>
              <w:spacing w:after="58"/>
              <w:rPr>
                <w:bCs/>
              </w:rPr>
            </w:pPr>
            <w:r w:rsidRPr="00FF7C33">
              <w:rPr>
                <w:bCs/>
                <w:i/>
              </w:rPr>
              <w:t>Related documents:</w:t>
            </w:r>
          </w:p>
        </w:tc>
        <w:tc>
          <w:tcPr>
            <w:tcW w:w="6755" w:type="dxa"/>
            <w:tcMar>
              <w:top w:w="85" w:type="dxa"/>
              <w:left w:w="85" w:type="dxa"/>
              <w:bottom w:w="85" w:type="dxa"/>
              <w:right w:w="85" w:type="dxa"/>
            </w:tcMar>
          </w:tcPr>
          <w:p w:rsidR="00A804CC" w:rsidRPr="00FF7C33" w:rsidRDefault="006C241F" w:rsidP="00771EB2">
            <w:pPr>
              <w:tabs>
                <w:tab w:val="clear" w:pos="851"/>
              </w:tabs>
              <w:spacing w:after="58"/>
              <w:rPr>
                <w:bCs/>
              </w:rPr>
            </w:pPr>
            <w:bookmarkStart w:id="12" w:name="Reldoc"/>
            <w:bookmarkEnd w:id="12"/>
            <w:r>
              <w:rPr>
                <w:noProof/>
              </w:rPr>
              <w:t>LEG 101/3, LEG 101/12, LEG 102/3, LEG 102/12 and LEG 103/3</w:t>
            </w:r>
          </w:p>
        </w:tc>
      </w:tr>
    </w:tbl>
    <w:p w:rsidR="001C38E9" w:rsidRDefault="001C38E9" w:rsidP="00771EB2">
      <w:pPr>
        <w:tabs>
          <w:tab w:val="clear" w:pos="851"/>
        </w:tabs>
      </w:pPr>
    </w:p>
    <w:p w:rsidR="00296ABD" w:rsidRDefault="005B6861" w:rsidP="00771EB2">
      <w:pPr>
        <w:tabs>
          <w:tab w:val="clear" w:pos="851"/>
        </w:tabs>
      </w:pPr>
      <w:bookmarkStart w:id="13" w:name="main_document"/>
      <w:bookmarkEnd w:id="13"/>
      <w:r>
        <w:rPr>
          <w:b/>
        </w:rPr>
        <w:t>Introduction</w:t>
      </w:r>
    </w:p>
    <w:p w:rsidR="00F447CB" w:rsidRDefault="00F447CB" w:rsidP="00F447CB">
      <w:pPr>
        <w:pStyle w:val="Default"/>
      </w:pPr>
    </w:p>
    <w:p w:rsidR="005B6861" w:rsidRPr="005B6861" w:rsidRDefault="00C16736" w:rsidP="00F447CB">
      <w:pPr>
        <w:tabs>
          <w:tab w:val="clear" w:pos="851"/>
        </w:tabs>
        <w:rPr>
          <w:szCs w:val="22"/>
        </w:rPr>
      </w:pPr>
      <w:r>
        <w:rPr>
          <w:szCs w:val="22"/>
        </w:rPr>
        <w:t>1</w:t>
      </w:r>
      <w:r>
        <w:rPr>
          <w:szCs w:val="22"/>
        </w:rPr>
        <w:tab/>
      </w:r>
      <w:r w:rsidR="005B6861">
        <w:rPr>
          <w:szCs w:val="22"/>
        </w:rPr>
        <w:t xml:space="preserve">The purpose of this document is to introduce the proposed resolution on the implementation and ratification of the </w:t>
      </w:r>
      <w:r w:rsidR="00C40E98">
        <w:rPr>
          <w:szCs w:val="22"/>
        </w:rPr>
        <w:t>P</w:t>
      </w:r>
      <w:r w:rsidR="005B6861">
        <w:rPr>
          <w:szCs w:val="22"/>
        </w:rPr>
        <w:t>rotocol</w:t>
      </w:r>
      <w:r w:rsidR="00C40E98">
        <w:rPr>
          <w:szCs w:val="22"/>
        </w:rPr>
        <w:t xml:space="preserve"> of 2010</w:t>
      </w:r>
      <w:r w:rsidR="005B6861">
        <w:rPr>
          <w:szCs w:val="22"/>
        </w:rPr>
        <w:t xml:space="preserve"> to the </w:t>
      </w:r>
      <w:r w:rsidR="005B6861" w:rsidRPr="005B6861">
        <w:rPr>
          <w:i/>
        </w:rPr>
        <w:t>International Convention on Liability and Compensation for Damage in Connection with the Carriage of Hazardous and Noxious Substances by Sea</w:t>
      </w:r>
      <w:r w:rsidR="005B6861">
        <w:rPr>
          <w:i/>
        </w:rPr>
        <w:t xml:space="preserve">, 1996 </w:t>
      </w:r>
      <w:r w:rsidR="005B6861">
        <w:t>(</w:t>
      </w:r>
      <w:r w:rsidR="00636377">
        <w:t xml:space="preserve">2010 </w:t>
      </w:r>
      <w:r w:rsidR="005B6861">
        <w:t xml:space="preserve">HNS </w:t>
      </w:r>
      <w:r w:rsidR="00636377">
        <w:t>Protocol</w:t>
      </w:r>
      <w:r w:rsidR="005B6861">
        <w:t xml:space="preserve">). </w:t>
      </w:r>
    </w:p>
    <w:p w:rsidR="005B6861" w:rsidRDefault="005B6861" w:rsidP="00F447CB">
      <w:pPr>
        <w:tabs>
          <w:tab w:val="clear" w:pos="851"/>
        </w:tabs>
        <w:rPr>
          <w:szCs w:val="22"/>
        </w:rPr>
      </w:pPr>
    </w:p>
    <w:p w:rsidR="005B6861" w:rsidRDefault="005B6861" w:rsidP="00F447CB">
      <w:pPr>
        <w:tabs>
          <w:tab w:val="clear" w:pos="851"/>
        </w:tabs>
        <w:rPr>
          <w:szCs w:val="22"/>
        </w:rPr>
      </w:pPr>
      <w:r w:rsidRPr="005B6861">
        <w:rPr>
          <w:b/>
          <w:szCs w:val="22"/>
        </w:rPr>
        <w:t>Background</w:t>
      </w:r>
    </w:p>
    <w:p w:rsidR="005B6861" w:rsidRDefault="005B6861" w:rsidP="00F447CB">
      <w:pPr>
        <w:tabs>
          <w:tab w:val="clear" w:pos="851"/>
        </w:tabs>
        <w:rPr>
          <w:szCs w:val="22"/>
        </w:rPr>
      </w:pPr>
    </w:p>
    <w:p w:rsidR="00DE658A" w:rsidRDefault="00C16736" w:rsidP="00DE658A">
      <w:r>
        <w:t>2</w:t>
      </w:r>
      <w:r>
        <w:tab/>
      </w:r>
      <w:r w:rsidR="00DE658A">
        <w:t xml:space="preserve">The </w:t>
      </w:r>
      <w:r w:rsidR="00636377">
        <w:t xml:space="preserve">2010 HNS Protocol </w:t>
      </w:r>
      <w:r w:rsidR="00DE658A">
        <w:t>recognizes</w:t>
      </w:r>
      <w:r w:rsidR="00DE658A" w:rsidRPr="00781564">
        <w:t xml:space="preserve"> </w:t>
      </w:r>
      <w:r w:rsidR="00391C8D">
        <w:t xml:space="preserve">that </w:t>
      </w:r>
      <w:r w:rsidR="00DE658A" w:rsidRPr="00781564">
        <w:t>the dangers posed by the world-wide carriage by sea of hazardous and noxious substances</w:t>
      </w:r>
      <w:r w:rsidR="00DE658A">
        <w:t xml:space="preserve"> </w:t>
      </w:r>
      <w:r w:rsidR="00391C8D">
        <w:t>means a</w:t>
      </w:r>
      <w:r w:rsidR="00DE658A" w:rsidRPr="007279B2">
        <w:t xml:space="preserve"> need to ensure that adequate, prompt and effective compensation is available to persons who suffer damage caused by incidents in connection with </w:t>
      </w:r>
      <w:r w:rsidR="00DE658A">
        <w:t xml:space="preserve">the </w:t>
      </w:r>
      <w:r w:rsidR="00DE658A" w:rsidRPr="007279B2">
        <w:t>carriage</w:t>
      </w:r>
      <w:r w:rsidR="00DE658A">
        <w:t xml:space="preserve"> of such substances. </w:t>
      </w:r>
      <w:r w:rsidR="0080705A">
        <w:t xml:space="preserve">The entry into force of the </w:t>
      </w:r>
      <w:r w:rsidR="00636377">
        <w:t xml:space="preserve">2010 HNS Protocol </w:t>
      </w:r>
      <w:r w:rsidR="0080705A">
        <w:t xml:space="preserve">would result in filling a critical gap in the global network of liability and compensation regimes. </w:t>
      </w:r>
      <w:r w:rsidR="00DE658A">
        <w:t xml:space="preserve">Eight states signed the 1996 HNS Convention, </w:t>
      </w:r>
      <w:r w:rsidR="00391C8D">
        <w:t xml:space="preserve">subject to ratification, </w:t>
      </w:r>
      <w:r w:rsidR="00DE658A">
        <w:t xml:space="preserve">however it never </w:t>
      </w:r>
      <w:r w:rsidR="0080705A">
        <w:t>came</w:t>
      </w:r>
      <w:r w:rsidR="00DE658A">
        <w:t xml:space="preserve"> into force because of a number of underlying issues preventing the entry into force provisions </w:t>
      </w:r>
      <w:r w:rsidR="00DE658A">
        <w:lastRenderedPageBreak/>
        <w:t xml:space="preserve">from being met. The 2010 HNS Protocol </w:t>
      </w:r>
      <w:r w:rsidR="00391C8D">
        <w:t xml:space="preserve">which was also signed by eight states subject to ratification, </w:t>
      </w:r>
      <w:r w:rsidR="00DE658A">
        <w:t>was developed</w:t>
      </w:r>
      <w:r w:rsidR="0080705A">
        <w:t xml:space="preserve"> and adopted</w:t>
      </w:r>
      <w:r w:rsidR="00DE658A">
        <w:t xml:space="preserve"> to resolve all outstanding issues that prevented the coming into force of the 1996 HNS Convention. </w:t>
      </w:r>
    </w:p>
    <w:p w:rsidR="00DE658A" w:rsidRDefault="00DE658A" w:rsidP="00DE658A"/>
    <w:p w:rsidR="005B6861" w:rsidRDefault="00C16736" w:rsidP="00C16736">
      <w:pPr>
        <w:pStyle w:val="level2text"/>
        <w:numPr>
          <w:ilvl w:val="0"/>
          <w:numId w:val="0"/>
        </w:numPr>
        <w:tabs>
          <w:tab w:val="clear" w:pos="9214"/>
          <w:tab w:val="left" w:pos="900"/>
          <w:tab w:val="left" w:pos="9070"/>
        </w:tabs>
        <w:rPr>
          <w:rFonts w:ascii="Arial" w:hAnsi="Arial" w:cs="Arial"/>
        </w:rPr>
      </w:pPr>
      <w:r>
        <w:rPr>
          <w:rFonts w:ascii="Arial" w:hAnsi="Arial" w:cs="Arial"/>
        </w:rPr>
        <w:t xml:space="preserve">3       </w:t>
      </w:r>
      <w:r w:rsidR="005B6861" w:rsidRPr="005B6861">
        <w:rPr>
          <w:rFonts w:ascii="Arial" w:hAnsi="Arial" w:cs="Arial"/>
        </w:rPr>
        <w:t xml:space="preserve">At its 101st session in April 2014, the IMO Legal Committee established an HNS Correspondence Group to provide a forum for discussion and information sharing among States and industry stakeholders working towards the </w:t>
      </w:r>
      <w:r w:rsidR="009054BF" w:rsidRPr="009054BF">
        <w:rPr>
          <w:rFonts w:ascii="Arial" w:hAnsi="Arial" w:cs="Arial"/>
        </w:rPr>
        <w:t>2010 HNS Protocol</w:t>
      </w:r>
      <w:r w:rsidR="005B6861" w:rsidRPr="005B6861">
        <w:rPr>
          <w:rFonts w:ascii="Arial" w:hAnsi="Arial" w:cs="Arial"/>
        </w:rPr>
        <w:t>’s entry into force.  The Legal Committee extend</w:t>
      </w:r>
      <w:r w:rsidR="00391C8D">
        <w:rPr>
          <w:rFonts w:ascii="Arial" w:hAnsi="Arial" w:cs="Arial"/>
        </w:rPr>
        <w:t>ed</w:t>
      </w:r>
      <w:r w:rsidR="005B6861" w:rsidRPr="005B6861">
        <w:rPr>
          <w:rFonts w:ascii="Arial" w:hAnsi="Arial" w:cs="Arial"/>
        </w:rPr>
        <w:t xml:space="preserve"> its mandate </w:t>
      </w:r>
      <w:r w:rsidR="00391C8D">
        <w:rPr>
          <w:rFonts w:ascii="Arial" w:hAnsi="Arial" w:cs="Arial"/>
        </w:rPr>
        <w:t>at its 102</w:t>
      </w:r>
      <w:r w:rsidR="00391C8D" w:rsidRPr="00604C6D">
        <w:rPr>
          <w:rFonts w:ascii="Arial" w:hAnsi="Arial" w:cs="Arial"/>
          <w:vertAlign w:val="superscript"/>
        </w:rPr>
        <w:t>nd</w:t>
      </w:r>
      <w:r w:rsidR="00391C8D">
        <w:rPr>
          <w:rFonts w:ascii="Arial" w:hAnsi="Arial" w:cs="Arial"/>
        </w:rPr>
        <w:t xml:space="preserve"> session in April 2015 </w:t>
      </w:r>
      <w:r w:rsidR="005B6861" w:rsidRPr="005B6861">
        <w:rPr>
          <w:rFonts w:ascii="Arial" w:hAnsi="Arial" w:cs="Arial"/>
        </w:rPr>
        <w:t xml:space="preserve">until its next session and added the development of three specific items to its Terms of Reference, including a draft resolution on the implementation and entry into force of the </w:t>
      </w:r>
      <w:r w:rsidR="009054BF" w:rsidRPr="009054BF">
        <w:rPr>
          <w:rFonts w:ascii="Arial" w:hAnsi="Arial" w:cs="Arial"/>
        </w:rPr>
        <w:t>2010 HNS Protocol</w:t>
      </w:r>
      <w:r w:rsidR="005B6861" w:rsidRPr="005B6861">
        <w:rPr>
          <w:rFonts w:ascii="Arial" w:hAnsi="Arial" w:cs="Arial"/>
        </w:rPr>
        <w:t>.</w:t>
      </w:r>
      <w:r w:rsidR="009300F1">
        <w:rPr>
          <w:rFonts w:ascii="Arial" w:hAnsi="Arial" w:cs="Arial"/>
        </w:rPr>
        <w:t xml:space="preserve"> </w:t>
      </w:r>
    </w:p>
    <w:p w:rsidR="00DE658A" w:rsidRPr="00DE658A" w:rsidRDefault="00C16736" w:rsidP="00C16736">
      <w:pPr>
        <w:pStyle w:val="level2text"/>
        <w:numPr>
          <w:ilvl w:val="0"/>
          <w:numId w:val="0"/>
        </w:numPr>
        <w:tabs>
          <w:tab w:val="left" w:pos="810"/>
        </w:tabs>
        <w:rPr>
          <w:rFonts w:ascii="Arial" w:hAnsi="Arial"/>
        </w:rPr>
      </w:pPr>
      <w:r>
        <w:rPr>
          <w:rFonts w:ascii="Arial" w:hAnsi="Arial" w:cs="Arial"/>
        </w:rPr>
        <w:t xml:space="preserve">4        </w:t>
      </w:r>
      <w:r w:rsidR="00A13A58">
        <w:rPr>
          <w:rFonts w:ascii="Arial" w:hAnsi="Arial" w:cs="Arial"/>
        </w:rPr>
        <w:t xml:space="preserve">To ratify the </w:t>
      </w:r>
      <w:r w:rsidR="009054BF" w:rsidRPr="009054BF">
        <w:rPr>
          <w:rFonts w:ascii="Arial" w:hAnsi="Arial" w:cs="Arial"/>
        </w:rPr>
        <w:t>2010 HNS Protocol</w:t>
      </w:r>
      <w:r w:rsidR="00A13A58">
        <w:rPr>
          <w:rFonts w:ascii="Arial" w:hAnsi="Arial" w:cs="Arial"/>
        </w:rPr>
        <w:t xml:space="preserve">, States must collect reports on the quantities of HNS received in the states for the calendar year prior to ratification. </w:t>
      </w:r>
      <w:r w:rsidR="00C05B94">
        <w:rPr>
          <w:rFonts w:ascii="Arial" w:hAnsi="Arial" w:cs="Arial"/>
        </w:rPr>
        <w:t xml:space="preserve">To enter into force, the </w:t>
      </w:r>
      <w:r w:rsidR="009054BF" w:rsidRPr="009054BF">
        <w:rPr>
          <w:rFonts w:ascii="Arial" w:hAnsi="Arial" w:cs="Arial"/>
        </w:rPr>
        <w:t>2010 HNS Protocol</w:t>
      </w:r>
      <w:r w:rsidR="00C05B94">
        <w:rPr>
          <w:rFonts w:ascii="Arial" w:hAnsi="Arial" w:cs="Arial"/>
        </w:rPr>
        <w:t xml:space="preserve"> must be ratified by at least twelve States that together have received a total quantity of at least 40 million tonnes of cargo contributing to the general account. Four of those States </w:t>
      </w:r>
      <w:r w:rsidR="009937C2">
        <w:rPr>
          <w:rFonts w:ascii="Arial" w:hAnsi="Arial" w:cs="Arial"/>
        </w:rPr>
        <w:t xml:space="preserve">must each have a registered tonnage of not less than two million. </w:t>
      </w:r>
      <w:r w:rsidR="009300F1">
        <w:rPr>
          <w:rFonts w:ascii="Arial" w:hAnsi="Arial" w:cs="Arial"/>
        </w:rPr>
        <w:t xml:space="preserve">The </w:t>
      </w:r>
      <w:r w:rsidR="009054BF" w:rsidRPr="009054BF">
        <w:rPr>
          <w:rFonts w:ascii="Arial" w:hAnsi="Arial" w:cs="Arial"/>
        </w:rPr>
        <w:t>2010 HNS Protocol</w:t>
      </w:r>
      <w:r w:rsidR="009300F1">
        <w:rPr>
          <w:rFonts w:ascii="Arial" w:hAnsi="Arial" w:cs="Arial"/>
        </w:rPr>
        <w:t xml:space="preserve"> will enter into force 18 months after the entry into force criteria have been met.  </w:t>
      </w:r>
    </w:p>
    <w:p w:rsidR="005C7F93" w:rsidRDefault="005C7F93" w:rsidP="005B6861">
      <w:pPr>
        <w:tabs>
          <w:tab w:val="clear" w:pos="851"/>
        </w:tabs>
        <w:rPr>
          <w:b/>
          <w:bCs/>
        </w:rPr>
      </w:pPr>
      <w:r>
        <w:rPr>
          <w:b/>
          <w:bCs/>
        </w:rPr>
        <w:t>Overview of the Proposed Resolution on the Implementation and Entry into Force of the HNS Convention</w:t>
      </w:r>
    </w:p>
    <w:p w:rsidR="005C7F93" w:rsidRDefault="005C7F93" w:rsidP="005B6861">
      <w:pPr>
        <w:tabs>
          <w:tab w:val="clear" w:pos="851"/>
        </w:tabs>
        <w:rPr>
          <w:b/>
          <w:bCs/>
        </w:rPr>
      </w:pPr>
    </w:p>
    <w:p w:rsidR="0080705A" w:rsidRDefault="00C16736" w:rsidP="00C16736">
      <w:pPr>
        <w:pStyle w:val="level2text"/>
        <w:numPr>
          <w:ilvl w:val="0"/>
          <w:numId w:val="0"/>
        </w:numPr>
        <w:tabs>
          <w:tab w:val="left" w:pos="720"/>
        </w:tabs>
        <w:rPr>
          <w:rFonts w:ascii="Arial" w:hAnsi="Arial" w:cs="Arial"/>
        </w:rPr>
      </w:pPr>
      <w:r>
        <w:rPr>
          <w:rFonts w:ascii="Arial" w:hAnsi="Arial" w:cs="Arial"/>
        </w:rPr>
        <w:t xml:space="preserve">5        </w:t>
      </w:r>
      <w:r w:rsidR="00685B19">
        <w:rPr>
          <w:rFonts w:ascii="Arial" w:hAnsi="Arial" w:cs="Arial"/>
        </w:rPr>
        <w:t>The need to report on the quantities of HNS received in a state for the calendar year prior to that State’s ratification lengthen the implementation period for Governments and require a well-planned implementation schedule. In addition, t</w:t>
      </w:r>
      <w:r w:rsidR="0080705A">
        <w:rPr>
          <w:rFonts w:ascii="Arial" w:hAnsi="Arial" w:cs="Arial"/>
        </w:rPr>
        <w:t xml:space="preserve">he </w:t>
      </w:r>
      <w:r w:rsidR="009054BF" w:rsidRPr="009054BF">
        <w:rPr>
          <w:rFonts w:ascii="Arial" w:hAnsi="Arial" w:cs="Arial"/>
        </w:rPr>
        <w:t>2010 HNS Protocol</w:t>
      </w:r>
      <w:r w:rsidR="00A13A58">
        <w:rPr>
          <w:rFonts w:ascii="Arial" w:hAnsi="Arial" w:cs="Arial"/>
        </w:rPr>
        <w:t>’s unique</w:t>
      </w:r>
      <w:r w:rsidR="00685B19">
        <w:rPr>
          <w:rFonts w:ascii="Arial" w:hAnsi="Arial" w:cs="Arial"/>
        </w:rPr>
        <w:t xml:space="preserve"> entry into force provisions make an internationally coordinated approach to its implementation </w:t>
      </w:r>
      <w:r w:rsidR="00502857">
        <w:rPr>
          <w:rFonts w:ascii="Arial" w:hAnsi="Arial" w:cs="Arial"/>
        </w:rPr>
        <w:t>beneficial</w:t>
      </w:r>
      <w:r w:rsidR="003D609D">
        <w:rPr>
          <w:rFonts w:ascii="Arial" w:hAnsi="Arial" w:cs="Arial"/>
        </w:rPr>
        <w:t>. This would</w:t>
      </w:r>
      <w:r w:rsidR="00502857">
        <w:rPr>
          <w:rFonts w:ascii="Arial" w:hAnsi="Arial" w:cs="Arial"/>
        </w:rPr>
        <w:t xml:space="preserve"> </w:t>
      </w:r>
      <w:r w:rsidR="003D609D">
        <w:rPr>
          <w:rFonts w:ascii="Arial" w:hAnsi="Arial" w:cs="Arial"/>
        </w:rPr>
        <w:t xml:space="preserve">make it more likely that the necessary critical mass of states ratifies within close proximity, minimizing any </w:t>
      </w:r>
      <w:r>
        <w:rPr>
          <w:rFonts w:ascii="Arial" w:hAnsi="Arial" w:cs="Arial"/>
        </w:rPr>
        <w:t xml:space="preserve">perceived </w:t>
      </w:r>
      <w:r w:rsidR="003D609D">
        <w:rPr>
          <w:rFonts w:ascii="Arial" w:hAnsi="Arial" w:cs="Arial"/>
        </w:rPr>
        <w:t>risk</w:t>
      </w:r>
      <w:r>
        <w:rPr>
          <w:rFonts w:ascii="Arial" w:hAnsi="Arial" w:cs="Arial"/>
        </w:rPr>
        <w:t xml:space="preserve">s associated </w:t>
      </w:r>
      <w:r w:rsidR="003D609D">
        <w:rPr>
          <w:rFonts w:ascii="Arial" w:hAnsi="Arial" w:cs="Arial"/>
        </w:rPr>
        <w:t>with ratifying</w:t>
      </w:r>
      <w:r>
        <w:rPr>
          <w:rFonts w:ascii="Arial" w:hAnsi="Arial" w:cs="Arial"/>
        </w:rPr>
        <w:t xml:space="preserve"> separately, and promote a more timely entry into force of the </w:t>
      </w:r>
      <w:r w:rsidR="009054BF" w:rsidRPr="009054BF">
        <w:rPr>
          <w:rFonts w:ascii="Arial" w:hAnsi="Arial" w:cs="Arial"/>
        </w:rPr>
        <w:t>2010 HNS Protocol</w:t>
      </w:r>
      <w:r>
        <w:rPr>
          <w:rFonts w:ascii="Arial" w:hAnsi="Arial" w:cs="Arial"/>
        </w:rPr>
        <w:t xml:space="preserve">. </w:t>
      </w:r>
      <w:r w:rsidR="003D609D">
        <w:rPr>
          <w:rFonts w:ascii="Arial" w:hAnsi="Arial" w:cs="Arial"/>
        </w:rPr>
        <w:t xml:space="preserve"> </w:t>
      </w:r>
      <w:r w:rsidR="00502857">
        <w:rPr>
          <w:rFonts w:ascii="Arial" w:hAnsi="Arial" w:cs="Arial"/>
        </w:rPr>
        <w:t xml:space="preserve"> </w:t>
      </w:r>
    </w:p>
    <w:p w:rsidR="00391C8D" w:rsidRDefault="00C16736" w:rsidP="005C7F93">
      <w:pPr>
        <w:pStyle w:val="level2text"/>
        <w:numPr>
          <w:ilvl w:val="0"/>
          <w:numId w:val="0"/>
        </w:numPr>
        <w:rPr>
          <w:rFonts w:ascii="Arial" w:hAnsi="Arial" w:cs="Arial"/>
        </w:rPr>
      </w:pPr>
      <w:r>
        <w:rPr>
          <w:rFonts w:ascii="Arial" w:hAnsi="Arial" w:cs="Arial"/>
        </w:rPr>
        <w:t xml:space="preserve">6       </w:t>
      </w:r>
      <w:r w:rsidR="005C7F93" w:rsidRPr="009300F1">
        <w:rPr>
          <w:rFonts w:ascii="Arial" w:hAnsi="Arial" w:cs="Arial"/>
        </w:rPr>
        <w:t>Th</w:t>
      </w:r>
      <w:r>
        <w:rPr>
          <w:rFonts w:ascii="Arial" w:hAnsi="Arial" w:cs="Arial"/>
        </w:rPr>
        <w:t>e</w:t>
      </w:r>
      <w:r w:rsidR="005C7F93" w:rsidRPr="009300F1">
        <w:rPr>
          <w:rFonts w:ascii="Arial" w:hAnsi="Arial" w:cs="Arial"/>
        </w:rPr>
        <w:t xml:space="preserve"> </w:t>
      </w:r>
      <w:r w:rsidR="00C05B94" w:rsidRPr="009300F1">
        <w:rPr>
          <w:rFonts w:ascii="Arial" w:hAnsi="Arial" w:cs="Arial"/>
        </w:rPr>
        <w:t>proposed</w:t>
      </w:r>
      <w:r w:rsidR="005C7F93" w:rsidRPr="009300F1">
        <w:rPr>
          <w:rFonts w:ascii="Arial" w:hAnsi="Arial" w:cs="Arial"/>
        </w:rPr>
        <w:t xml:space="preserve"> resolution </w:t>
      </w:r>
      <w:r w:rsidR="00391C8D">
        <w:rPr>
          <w:rFonts w:ascii="Arial" w:hAnsi="Arial" w:cs="Arial"/>
        </w:rPr>
        <w:t>urges</w:t>
      </w:r>
      <w:r w:rsidR="00391C8D" w:rsidRPr="009300F1">
        <w:rPr>
          <w:rFonts w:ascii="Arial" w:hAnsi="Arial" w:cs="Arial"/>
        </w:rPr>
        <w:t xml:space="preserve"> </w:t>
      </w:r>
      <w:r w:rsidR="005C7F93" w:rsidRPr="009300F1">
        <w:rPr>
          <w:rFonts w:ascii="Arial" w:hAnsi="Arial" w:cs="Arial"/>
        </w:rPr>
        <w:t>States</w:t>
      </w:r>
      <w:r w:rsidR="00C05B94" w:rsidRPr="009300F1">
        <w:rPr>
          <w:rFonts w:ascii="Arial" w:hAnsi="Arial" w:cs="Arial"/>
        </w:rPr>
        <w:t xml:space="preserve">, in particular those </w:t>
      </w:r>
      <w:r w:rsidR="009300F1" w:rsidRPr="009300F1">
        <w:rPr>
          <w:rFonts w:ascii="Arial" w:hAnsi="Arial" w:cs="Arial"/>
        </w:rPr>
        <w:t>with major ports and industries receiving HNS contributing cargo and those with larger ship registries,</w:t>
      </w:r>
      <w:r w:rsidR="005C7F93" w:rsidRPr="009300F1">
        <w:rPr>
          <w:rFonts w:ascii="Arial" w:hAnsi="Arial" w:cs="Arial"/>
        </w:rPr>
        <w:t xml:space="preserve"> to take the steps necessary to implement the </w:t>
      </w:r>
      <w:r w:rsidR="009054BF" w:rsidRPr="009054BF">
        <w:rPr>
          <w:rFonts w:ascii="Arial" w:hAnsi="Arial" w:cs="Arial"/>
        </w:rPr>
        <w:t>2010 HNS Protocol</w:t>
      </w:r>
      <w:r w:rsidR="005C7F93" w:rsidRPr="009300F1">
        <w:rPr>
          <w:rFonts w:ascii="Arial" w:hAnsi="Arial" w:cs="Arial"/>
        </w:rPr>
        <w:t xml:space="preserve"> domestically with the aim of rapidly bringing the </w:t>
      </w:r>
      <w:r w:rsidR="009054BF">
        <w:rPr>
          <w:rFonts w:ascii="Arial" w:hAnsi="Arial" w:cs="Arial"/>
        </w:rPr>
        <w:t>Protocol</w:t>
      </w:r>
      <w:r w:rsidR="005C7F93" w:rsidRPr="009300F1">
        <w:rPr>
          <w:rFonts w:ascii="Arial" w:hAnsi="Arial" w:cs="Arial"/>
        </w:rPr>
        <w:t xml:space="preserve"> into force. </w:t>
      </w:r>
      <w:r w:rsidR="009300F1" w:rsidRPr="009300F1">
        <w:rPr>
          <w:rFonts w:ascii="Arial" w:hAnsi="Arial" w:cs="Arial"/>
        </w:rPr>
        <w:t xml:space="preserve">The proposed resolution also encourages States to participate in the HNS Correspondence Group and to collaborate with industry and other States and share best practices to facilitate the entry into force of the </w:t>
      </w:r>
      <w:r w:rsidR="009054BF">
        <w:rPr>
          <w:rFonts w:ascii="Arial" w:hAnsi="Arial" w:cs="Arial"/>
        </w:rPr>
        <w:t>Protocol</w:t>
      </w:r>
      <w:r w:rsidR="009300F1" w:rsidRPr="009300F1">
        <w:rPr>
          <w:rFonts w:ascii="Arial" w:hAnsi="Arial" w:cs="Arial"/>
        </w:rPr>
        <w:t xml:space="preserve">. </w:t>
      </w:r>
      <w:r w:rsidR="00C40E98">
        <w:rPr>
          <w:rFonts w:ascii="Arial" w:hAnsi="Arial" w:cs="Arial"/>
        </w:rPr>
        <w:t>In addition, t</w:t>
      </w:r>
      <w:r w:rsidR="005C7F93" w:rsidRPr="009300F1">
        <w:rPr>
          <w:rFonts w:ascii="Arial" w:hAnsi="Arial" w:cs="Arial"/>
        </w:rPr>
        <w:t xml:space="preserve">he </w:t>
      </w:r>
      <w:r w:rsidR="00C05B94" w:rsidRPr="009300F1">
        <w:rPr>
          <w:rFonts w:ascii="Arial" w:hAnsi="Arial" w:cs="Arial"/>
        </w:rPr>
        <w:t xml:space="preserve">proposed </w:t>
      </w:r>
      <w:r w:rsidR="005C7F93" w:rsidRPr="009300F1">
        <w:rPr>
          <w:rFonts w:ascii="Arial" w:hAnsi="Arial" w:cs="Arial"/>
        </w:rPr>
        <w:t>resolution encourage</w:t>
      </w:r>
      <w:r w:rsidR="00C05B94" w:rsidRPr="009300F1">
        <w:rPr>
          <w:rFonts w:ascii="Arial" w:hAnsi="Arial" w:cs="Arial"/>
        </w:rPr>
        <w:t>s</w:t>
      </w:r>
      <w:r w:rsidR="005C7F93" w:rsidRPr="009300F1">
        <w:rPr>
          <w:rFonts w:ascii="Arial" w:hAnsi="Arial" w:cs="Arial"/>
        </w:rPr>
        <w:t xml:space="preserve"> collaboration among States to coordinate effort</w:t>
      </w:r>
      <w:r w:rsidR="009300F1" w:rsidRPr="009300F1">
        <w:rPr>
          <w:rFonts w:ascii="Arial" w:hAnsi="Arial" w:cs="Arial"/>
        </w:rPr>
        <w:t>s</w:t>
      </w:r>
      <w:r w:rsidR="00C05B94" w:rsidRPr="009300F1">
        <w:rPr>
          <w:rFonts w:ascii="Arial" w:hAnsi="Arial" w:cs="Arial"/>
        </w:rPr>
        <w:t xml:space="preserve"> to </w:t>
      </w:r>
      <w:r w:rsidR="005C7F93" w:rsidRPr="009300F1">
        <w:rPr>
          <w:rFonts w:ascii="Arial" w:hAnsi="Arial" w:cs="Arial"/>
        </w:rPr>
        <w:t xml:space="preserve">trigger </w:t>
      </w:r>
      <w:r w:rsidR="009300F1" w:rsidRPr="009300F1">
        <w:rPr>
          <w:rFonts w:ascii="Arial" w:hAnsi="Arial" w:cs="Arial"/>
        </w:rPr>
        <w:t>the</w:t>
      </w:r>
      <w:r w:rsidR="005C7F93" w:rsidRPr="009300F1">
        <w:rPr>
          <w:rFonts w:ascii="Arial" w:hAnsi="Arial" w:cs="Arial"/>
        </w:rPr>
        <w:t xml:space="preserve"> </w:t>
      </w:r>
      <w:r w:rsidR="009054BF" w:rsidRPr="009054BF">
        <w:rPr>
          <w:rFonts w:ascii="Arial" w:hAnsi="Arial" w:cs="Arial"/>
        </w:rPr>
        <w:t>2010 HNS Protocol</w:t>
      </w:r>
      <w:r w:rsidR="00C40E98">
        <w:rPr>
          <w:rFonts w:ascii="Arial" w:hAnsi="Arial" w:cs="Arial"/>
        </w:rPr>
        <w:t xml:space="preserve">’s </w:t>
      </w:r>
      <w:r w:rsidR="005C7F93" w:rsidRPr="009300F1">
        <w:rPr>
          <w:rFonts w:ascii="Arial" w:hAnsi="Arial" w:cs="Arial"/>
        </w:rPr>
        <w:t>entry into force</w:t>
      </w:r>
      <w:r w:rsidR="009300F1" w:rsidRPr="009300F1">
        <w:rPr>
          <w:rFonts w:ascii="Arial" w:hAnsi="Arial" w:cs="Arial"/>
        </w:rPr>
        <w:t xml:space="preserve"> criteria, such as ratifying or acceding to the </w:t>
      </w:r>
      <w:r w:rsidR="009054BF">
        <w:rPr>
          <w:rFonts w:ascii="Arial" w:hAnsi="Arial" w:cs="Arial"/>
        </w:rPr>
        <w:t>Protocol</w:t>
      </w:r>
      <w:r w:rsidR="009300F1" w:rsidRPr="009300F1">
        <w:rPr>
          <w:rFonts w:ascii="Arial" w:hAnsi="Arial" w:cs="Arial"/>
        </w:rPr>
        <w:t xml:space="preserve"> in groups</w:t>
      </w:r>
      <w:r w:rsidR="005C7F93" w:rsidRPr="009300F1">
        <w:rPr>
          <w:rFonts w:ascii="Arial" w:hAnsi="Arial" w:cs="Arial"/>
        </w:rPr>
        <w:t>.  Finally, the draft resolution propose</w:t>
      </w:r>
      <w:r w:rsidR="009300F1" w:rsidRPr="009300F1">
        <w:rPr>
          <w:rFonts w:ascii="Arial" w:hAnsi="Arial" w:cs="Arial"/>
        </w:rPr>
        <w:t xml:space="preserve">s a target ratification date of 2020, which would allow the </w:t>
      </w:r>
      <w:r w:rsidR="009054BF">
        <w:rPr>
          <w:rFonts w:ascii="Arial" w:hAnsi="Arial" w:cs="Arial"/>
        </w:rPr>
        <w:t>Protocol</w:t>
      </w:r>
      <w:r w:rsidR="009300F1" w:rsidRPr="009300F1">
        <w:rPr>
          <w:rFonts w:ascii="Arial" w:hAnsi="Arial" w:cs="Arial"/>
        </w:rPr>
        <w:t xml:space="preserve"> to enter into force in 2022.</w:t>
      </w:r>
      <w:r w:rsidR="005C7F93" w:rsidRPr="009300F1">
        <w:rPr>
          <w:rFonts w:ascii="Arial" w:hAnsi="Arial" w:cs="Arial"/>
        </w:rPr>
        <w:t xml:space="preserve">  </w:t>
      </w:r>
    </w:p>
    <w:p w:rsidR="005C7F93" w:rsidRPr="009300F1" w:rsidRDefault="00391C8D" w:rsidP="005C7F93">
      <w:pPr>
        <w:pStyle w:val="level2text"/>
        <w:numPr>
          <w:ilvl w:val="0"/>
          <w:numId w:val="0"/>
        </w:numPr>
        <w:rPr>
          <w:rFonts w:ascii="Arial" w:hAnsi="Arial" w:cs="Arial"/>
        </w:rPr>
      </w:pPr>
      <w:r>
        <w:rPr>
          <w:rFonts w:ascii="Arial" w:hAnsi="Arial" w:cs="Arial"/>
        </w:rPr>
        <w:t>7 The HNS Correspondence Group considered the attached draft resolution and the sponsoring states are committed to a global solution to provide certainty to the shipping and cargo sectors while ensuring prompt and adequate compensation for HNS incidents. The sponsoring states are also committed to working together to bring the 2010 HNS Protocol into force within an agreed upon timeframe.</w:t>
      </w:r>
      <w:r w:rsidR="005C7F93" w:rsidRPr="009300F1">
        <w:rPr>
          <w:rFonts w:ascii="Arial" w:hAnsi="Arial" w:cs="Arial"/>
        </w:rPr>
        <w:t xml:space="preserve">  </w:t>
      </w:r>
    </w:p>
    <w:p w:rsidR="005B6861" w:rsidRDefault="005B6861" w:rsidP="005B6861">
      <w:pPr>
        <w:tabs>
          <w:tab w:val="clear" w:pos="851"/>
        </w:tabs>
        <w:rPr>
          <w:b/>
          <w:bCs/>
        </w:rPr>
      </w:pPr>
      <w:r>
        <w:rPr>
          <w:b/>
          <w:bCs/>
        </w:rPr>
        <w:t>Action requested of the Legal Committee</w:t>
      </w:r>
    </w:p>
    <w:p w:rsidR="005B6861" w:rsidRDefault="005B6861" w:rsidP="00F447CB">
      <w:pPr>
        <w:tabs>
          <w:tab w:val="clear" w:pos="851"/>
        </w:tabs>
      </w:pPr>
    </w:p>
    <w:p w:rsidR="005B6861" w:rsidRDefault="00391C8D" w:rsidP="00C16736">
      <w:pPr>
        <w:tabs>
          <w:tab w:val="clear" w:pos="851"/>
          <w:tab w:val="left" w:pos="630"/>
        </w:tabs>
      </w:pPr>
      <w:r>
        <w:t>8</w:t>
      </w:r>
      <w:r w:rsidR="00C16736">
        <w:t xml:space="preserve">         </w:t>
      </w:r>
      <w:r w:rsidR="005B6861">
        <w:t>The Legal Committee is invited to:</w:t>
      </w:r>
    </w:p>
    <w:p w:rsidR="005B6861" w:rsidRDefault="005B6861" w:rsidP="005B6861"/>
    <w:p w:rsidR="005B6861" w:rsidRDefault="005B6861" w:rsidP="005C7F93">
      <w:pPr>
        <w:ind w:left="851"/>
      </w:pPr>
      <w:r>
        <w:t xml:space="preserve">.1      take note of the information contained in this document; </w:t>
      </w:r>
    </w:p>
    <w:p w:rsidR="005C7F93" w:rsidRDefault="005C7F93" w:rsidP="005C7F93">
      <w:pPr>
        <w:ind w:left="851"/>
      </w:pPr>
    </w:p>
    <w:p w:rsidR="005C7F93" w:rsidRDefault="005B6861" w:rsidP="005C7F93">
      <w:pPr>
        <w:tabs>
          <w:tab w:val="clear" w:pos="851"/>
        </w:tabs>
        <w:ind w:left="851"/>
      </w:pPr>
      <w:r>
        <w:t xml:space="preserve">.2      </w:t>
      </w:r>
      <w:proofErr w:type="gramStart"/>
      <w:r w:rsidR="005C7F93">
        <w:t>to</w:t>
      </w:r>
      <w:proofErr w:type="gramEnd"/>
      <w:r w:rsidR="005C7F93">
        <w:t xml:space="preserve"> adopt the proposed resolution; and</w:t>
      </w:r>
    </w:p>
    <w:p w:rsidR="005C7F93" w:rsidRDefault="005C7F93" w:rsidP="005C7F93">
      <w:pPr>
        <w:tabs>
          <w:tab w:val="clear" w:pos="851"/>
        </w:tabs>
        <w:ind w:left="851"/>
      </w:pPr>
    </w:p>
    <w:p w:rsidR="00604C6D" w:rsidRDefault="005C7F93" w:rsidP="00604C6D">
      <w:pPr>
        <w:tabs>
          <w:tab w:val="clear" w:pos="851"/>
        </w:tabs>
        <w:ind w:left="851"/>
      </w:pPr>
      <w:r>
        <w:lastRenderedPageBreak/>
        <w:t xml:space="preserve">.3      once adopted, forward the resolution to the IMO Assembly. </w:t>
      </w:r>
    </w:p>
    <w:p w:rsidR="006C241F" w:rsidRDefault="006C241F" w:rsidP="00604C6D">
      <w:pPr>
        <w:jc w:val="center"/>
      </w:pPr>
    </w:p>
    <w:p w:rsidR="006C241F" w:rsidRDefault="006C241F" w:rsidP="006C241F">
      <w:pPr>
        <w:tabs>
          <w:tab w:val="left" w:pos="1805"/>
        </w:tabs>
      </w:pPr>
      <w:r>
        <w:tab/>
      </w:r>
      <w:r>
        <w:tab/>
      </w:r>
      <w:bookmarkStart w:id="14" w:name="_GoBack"/>
      <w:bookmarkEnd w:id="14"/>
    </w:p>
    <w:p w:rsidR="00604C6D" w:rsidRPr="00781564" w:rsidRDefault="00604C6D" w:rsidP="00604C6D">
      <w:pPr>
        <w:jc w:val="center"/>
      </w:pPr>
      <w:r w:rsidRPr="006C241F">
        <w:br w:type="page"/>
      </w:r>
      <w:r w:rsidRPr="00781564">
        <w:rPr>
          <w:b/>
        </w:rPr>
        <w:lastRenderedPageBreak/>
        <w:t>DRAFT</w:t>
      </w:r>
      <w:r>
        <w:rPr>
          <w:b/>
        </w:rPr>
        <w:t xml:space="preserve"> -</w:t>
      </w:r>
      <w:r w:rsidRPr="00781564">
        <w:rPr>
          <w:b/>
        </w:rPr>
        <w:t xml:space="preserve"> </w:t>
      </w:r>
      <w:r>
        <w:rPr>
          <w:b/>
        </w:rPr>
        <w:t>[LEGAL COMMITTEE</w:t>
      </w:r>
      <w:proofErr w:type="gramStart"/>
      <w:r>
        <w:rPr>
          <w:b/>
        </w:rPr>
        <w:t>][</w:t>
      </w:r>
      <w:proofErr w:type="gramEnd"/>
      <w:r w:rsidRPr="00781564">
        <w:rPr>
          <w:b/>
        </w:rPr>
        <w:t>ASSEMBLY</w:t>
      </w:r>
      <w:r>
        <w:rPr>
          <w:b/>
        </w:rPr>
        <w:t>]</w:t>
      </w:r>
      <w:r w:rsidRPr="00781564">
        <w:rPr>
          <w:b/>
        </w:rPr>
        <w:t xml:space="preserve"> RESOLUTION ON IMPLEMENTATION </w:t>
      </w:r>
      <w:r>
        <w:rPr>
          <w:b/>
        </w:rPr>
        <w:t xml:space="preserve">AND ENTRY INTO FORCE </w:t>
      </w:r>
      <w:r w:rsidRPr="00781564">
        <w:rPr>
          <w:b/>
        </w:rPr>
        <w:t xml:space="preserve">OF THE </w:t>
      </w:r>
      <w:r>
        <w:rPr>
          <w:b/>
        </w:rPr>
        <w:t xml:space="preserve">2010 </w:t>
      </w:r>
      <w:r w:rsidRPr="00781564">
        <w:rPr>
          <w:b/>
        </w:rPr>
        <w:t xml:space="preserve">HAZARDOUS AND NOXIOUS SUBSTANCES </w:t>
      </w:r>
      <w:r>
        <w:rPr>
          <w:b/>
        </w:rPr>
        <w:t>PROTOCOL</w:t>
      </w:r>
    </w:p>
    <w:p w:rsidR="00604C6D" w:rsidRPr="00781564" w:rsidRDefault="00604C6D" w:rsidP="00604C6D"/>
    <w:p w:rsidR="00604C6D" w:rsidRPr="00781564" w:rsidRDefault="00604C6D" w:rsidP="00604C6D"/>
    <w:p w:rsidR="00604C6D" w:rsidRPr="00781564" w:rsidRDefault="00604C6D" w:rsidP="00604C6D">
      <w:r w:rsidRPr="00781564">
        <w:t>THE [LEGAL COMMITTEE]</w:t>
      </w:r>
      <w:r w:rsidR="006C241F">
        <w:t xml:space="preserve"> </w:t>
      </w:r>
      <w:r w:rsidRPr="00781564">
        <w:t>[ASSEMBLY],</w:t>
      </w:r>
    </w:p>
    <w:p w:rsidR="00604C6D" w:rsidRPr="00781564" w:rsidRDefault="00604C6D" w:rsidP="00604C6D"/>
    <w:p w:rsidR="00604C6D" w:rsidRPr="00781564" w:rsidRDefault="00604C6D" w:rsidP="00604C6D">
      <w:pPr>
        <w:ind w:firstLine="720"/>
      </w:pPr>
      <w:r>
        <w:t xml:space="preserve">RECALLING </w:t>
      </w:r>
      <w:r w:rsidRPr="00781564">
        <w:t xml:space="preserve">the </w:t>
      </w:r>
      <w:r>
        <w:t xml:space="preserve">adoption of the Protocol of 2010 to the </w:t>
      </w:r>
      <w:r w:rsidRPr="00781564">
        <w:t>International Convention on Liability and Compensation for Damage in Connection with the Carriage of Hazardous and Noxious Substances by Sea, 1996 (</w:t>
      </w:r>
      <w:r>
        <w:t>HNS Protocol</w:t>
      </w:r>
      <w:r w:rsidRPr="00781564">
        <w:t>)</w:t>
      </w:r>
      <w:r>
        <w:t xml:space="preserve"> resolved all outstanding issues that prevented its coming into force</w:t>
      </w:r>
      <w:r w:rsidRPr="00781564">
        <w:t>,</w:t>
      </w:r>
    </w:p>
    <w:p w:rsidR="00604C6D" w:rsidRPr="00781564" w:rsidRDefault="00604C6D" w:rsidP="00604C6D"/>
    <w:p w:rsidR="00604C6D" w:rsidRPr="00781564" w:rsidRDefault="00604C6D" w:rsidP="00604C6D">
      <w:pPr>
        <w:ind w:firstLine="720"/>
      </w:pPr>
      <w:r w:rsidRPr="00781564">
        <w:t>RECOGNIZ</w:t>
      </w:r>
      <w:r>
        <w:t>ING</w:t>
      </w:r>
      <w:r w:rsidRPr="00781564">
        <w:t xml:space="preserve"> the dangers posed by the world-wide carriage by sea of hazardous and noxious substances</w:t>
      </w:r>
      <w:r>
        <w:t xml:space="preserve"> and</w:t>
      </w:r>
      <w:r w:rsidRPr="007279B2">
        <w:t xml:space="preserve"> the need to ensure that adequate, prompt and effective compensation is available to persons who suffer damage caused by incidents in connection with </w:t>
      </w:r>
      <w:r>
        <w:t>such</w:t>
      </w:r>
      <w:r w:rsidRPr="007279B2">
        <w:t xml:space="preserve"> carriage</w:t>
      </w:r>
      <w:r w:rsidRPr="00781564">
        <w:t>,</w:t>
      </w:r>
    </w:p>
    <w:p w:rsidR="00604C6D" w:rsidRPr="00781564" w:rsidRDefault="00604C6D" w:rsidP="00604C6D"/>
    <w:p w:rsidR="00604C6D" w:rsidRPr="00781564" w:rsidRDefault="00604C6D" w:rsidP="00604C6D">
      <w:pPr>
        <w:ind w:firstLine="720"/>
      </w:pPr>
      <w:r>
        <w:t xml:space="preserve">CONSIDERING that the entry into force of the HNS Protocol would result in filling a critical gap in the global network of liability and </w:t>
      </w:r>
      <w:r w:rsidRPr="00781564">
        <w:t xml:space="preserve">compensation </w:t>
      </w:r>
      <w:r>
        <w:t>regimes</w:t>
      </w:r>
      <w:r w:rsidRPr="007279B2">
        <w:t xml:space="preserve"> </w:t>
      </w:r>
      <w:r>
        <w:t xml:space="preserve">and </w:t>
      </w:r>
      <w:r w:rsidRPr="007279B2">
        <w:t xml:space="preserve">that eight States are signatories to the HNS Protocol </w:t>
      </w:r>
      <w:r>
        <w:t xml:space="preserve">but </w:t>
      </w:r>
      <w:r w:rsidRPr="007279B2">
        <w:t>that at [</w:t>
      </w:r>
      <w:proofErr w:type="gramStart"/>
      <w:r w:rsidRPr="007279B2">
        <w:t>..</w:t>
      </w:r>
      <w:proofErr w:type="gramEnd"/>
      <w:r w:rsidRPr="007279B2">
        <w:t xml:space="preserve"> June 2016], no State has become party to it</w:t>
      </w:r>
      <w:r w:rsidRPr="00781564">
        <w:t>,</w:t>
      </w:r>
    </w:p>
    <w:p w:rsidR="00604C6D" w:rsidRPr="00781564" w:rsidRDefault="00604C6D" w:rsidP="00604C6D"/>
    <w:p w:rsidR="00604C6D" w:rsidRPr="00781564" w:rsidRDefault="00604C6D" w:rsidP="00604C6D">
      <w:pPr>
        <w:ind w:firstLine="720"/>
      </w:pPr>
      <w:r w:rsidRPr="00781564">
        <w:t xml:space="preserve">NOTING that the Legal Committee </w:t>
      </w:r>
      <w:r>
        <w:t>re-</w:t>
      </w:r>
      <w:r w:rsidRPr="00781564">
        <w:t xml:space="preserve">established a Correspondence Group in </w:t>
      </w:r>
      <w:r>
        <w:t xml:space="preserve">April 2014 </w:t>
      </w:r>
      <w:r w:rsidRPr="00781564">
        <w:t xml:space="preserve">to </w:t>
      </w:r>
      <w:r w:rsidRPr="00E95717">
        <w:t xml:space="preserve">promote the </w:t>
      </w:r>
      <w:r>
        <w:t>HNS Protocol</w:t>
      </w:r>
      <w:r w:rsidRPr="00E95717">
        <w:t xml:space="preserve"> and facilitate its entry into force</w:t>
      </w:r>
      <w:r>
        <w:t>,</w:t>
      </w:r>
    </w:p>
    <w:p w:rsidR="00604C6D" w:rsidRPr="00781564" w:rsidRDefault="00604C6D" w:rsidP="00604C6D"/>
    <w:p w:rsidR="00604C6D" w:rsidRPr="00781564" w:rsidRDefault="00604C6D" w:rsidP="00604C6D">
      <w:pPr>
        <w:ind w:firstLine="720"/>
      </w:pPr>
      <w:r w:rsidRPr="00781564">
        <w:t xml:space="preserve">RECALLING the importance of Governments being mindful of the time needed for effectively implementing the HNS </w:t>
      </w:r>
      <w:r>
        <w:t>Protocol</w:t>
      </w:r>
      <w:r w:rsidRPr="00781564">
        <w:t>, and thus of the need for well-planned time schedules for the implementation process,</w:t>
      </w:r>
    </w:p>
    <w:p w:rsidR="00604C6D" w:rsidRPr="00781564" w:rsidRDefault="00604C6D" w:rsidP="00604C6D"/>
    <w:p w:rsidR="00604C6D" w:rsidRDefault="00604C6D" w:rsidP="00604C6D">
      <w:pPr>
        <w:ind w:firstLine="720"/>
      </w:pPr>
      <w:r w:rsidRPr="00781564">
        <w:t xml:space="preserve">BELIEVING that it is desirable for </w:t>
      </w:r>
      <w:r>
        <w:t xml:space="preserve">Member </w:t>
      </w:r>
      <w:r w:rsidRPr="00781564">
        <w:t xml:space="preserve">States to work in a co-ordinated approach towards the implementation of the HNS </w:t>
      </w:r>
      <w:r>
        <w:t>Protocol which is needed in order to have a critical shipping tonnage and mass of HNS contributing cargo to trigger its entry into force</w:t>
      </w:r>
      <w:r w:rsidRPr="00781564">
        <w:t>,</w:t>
      </w:r>
    </w:p>
    <w:p w:rsidR="00604C6D" w:rsidRDefault="00604C6D" w:rsidP="00604C6D">
      <w:pPr>
        <w:ind w:firstLine="720"/>
      </w:pPr>
    </w:p>
    <w:p w:rsidR="00604C6D" w:rsidRPr="00781564" w:rsidRDefault="00604C6D" w:rsidP="00604C6D">
      <w:pPr>
        <w:ind w:firstLine="720"/>
      </w:pPr>
      <w:r>
        <w:t xml:space="preserve">RECOGNIZING the desirability that those Member States that are ready to implement and ratify the HNS Protocol will be followed by other Member States which represent a certain volume of HNS contributing cargo, </w:t>
      </w:r>
    </w:p>
    <w:p w:rsidR="00604C6D" w:rsidRPr="00781564" w:rsidRDefault="00604C6D" w:rsidP="00604C6D"/>
    <w:p w:rsidR="00604C6D" w:rsidRPr="00781564" w:rsidRDefault="00604C6D" w:rsidP="00604C6D">
      <w:pPr>
        <w:ind w:firstLine="720"/>
      </w:pPr>
      <w:r w:rsidRPr="00781564">
        <w:t xml:space="preserve">CONSCIOUS that the ultimate effectiveness of any instrument depend, </w:t>
      </w:r>
      <w:r w:rsidRPr="00781564">
        <w:rPr>
          <w:i/>
        </w:rPr>
        <w:t>inter alia</w:t>
      </w:r>
      <w:r w:rsidRPr="00781564">
        <w:t>, upon all States:</w:t>
      </w:r>
    </w:p>
    <w:p w:rsidR="00604C6D" w:rsidRPr="00781564" w:rsidRDefault="00604C6D" w:rsidP="00604C6D"/>
    <w:p w:rsidR="00604C6D" w:rsidRPr="00781564" w:rsidRDefault="00604C6D" w:rsidP="00604C6D">
      <w:r w:rsidRPr="00781564">
        <w:t xml:space="preserve">(a) </w:t>
      </w:r>
      <w:proofErr w:type="gramStart"/>
      <w:r w:rsidRPr="00781564">
        <w:t>becoming</w:t>
      </w:r>
      <w:proofErr w:type="gramEnd"/>
      <w:r w:rsidRPr="00781564">
        <w:t xml:space="preserve"> Party to the instrument</w:t>
      </w:r>
    </w:p>
    <w:p w:rsidR="00604C6D" w:rsidRPr="00781564" w:rsidRDefault="00604C6D" w:rsidP="00604C6D">
      <w:r w:rsidRPr="00781564">
        <w:t xml:space="preserve">(b) </w:t>
      </w:r>
      <w:proofErr w:type="gramStart"/>
      <w:r w:rsidRPr="00781564">
        <w:t>implementing</w:t>
      </w:r>
      <w:proofErr w:type="gramEnd"/>
      <w:r w:rsidRPr="00781564">
        <w:t xml:space="preserve"> it fully and effectively, and</w:t>
      </w:r>
    </w:p>
    <w:p w:rsidR="00604C6D" w:rsidRPr="00781564" w:rsidRDefault="00604C6D" w:rsidP="00604C6D">
      <w:r w:rsidRPr="00781564">
        <w:t xml:space="preserve">(c) </w:t>
      </w:r>
      <w:proofErr w:type="gramStart"/>
      <w:r w:rsidRPr="00781564">
        <w:t>enforcing</w:t>
      </w:r>
      <w:proofErr w:type="gramEnd"/>
      <w:r w:rsidRPr="00781564">
        <w:t xml:space="preserve"> it rigorously;</w:t>
      </w:r>
    </w:p>
    <w:p w:rsidR="00604C6D" w:rsidRDefault="00604C6D" w:rsidP="00604C6D"/>
    <w:p w:rsidR="00604C6D" w:rsidRDefault="00604C6D" w:rsidP="00604C6D">
      <w:r>
        <w:tab/>
        <w:t xml:space="preserve">INVITES Member States to implement and ratify, or accede to, </w:t>
      </w:r>
      <w:r w:rsidRPr="00CE54D8">
        <w:t>the HNS Protocol</w:t>
      </w:r>
      <w:r>
        <w:t xml:space="preserve"> at their earliest convenience;</w:t>
      </w:r>
    </w:p>
    <w:p w:rsidR="00604C6D" w:rsidRDefault="00604C6D" w:rsidP="00604C6D"/>
    <w:p w:rsidR="00604C6D" w:rsidRDefault="00604C6D" w:rsidP="00604C6D">
      <w:r>
        <w:tab/>
        <w:t>URGES Member States that represent a volume of HNS contributing cargo or registered tonnage that would significantly contribute to the Convention’s entry-into-force provisions to implement and ratify, or accede to, the HNS Protocol in or before the [year 2020];</w:t>
      </w:r>
      <w:r w:rsidRPr="00CE54D8">
        <w:t xml:space="preserve"> </w:t>
      </w:r>
    </w:p>
    <w:p w:rsidR="00604C6D" w:rsidRDefault="00604C6D" w:rsidP="00604C6D"/>
    <w:p w:rsidR="00604C6D" w:rsidRDefault="00604C6D" w:rsidP="00604C6D">
      <w:r>
        <w:tab/>
        <w:t xml:space="preserve">ENCOURAGES </w:t>
      </w:r>
      <w:r w:rsidRPr="002E5AA0">
        <w:t xml:space="preserve">Member States to ratify or accede to the HNS Protocol in groups </w:t>
      </w:r>
      <w:r>
        <w:t xml:space="preserve">and </w:t>
      </w:r>
      <w:r w:rsidRPr="002E5AA0">
        <w:t>thereby minimalizing the risks for those Member States who wish to ratify or accede to it alone</w:t>
      </w:r>
      <w:r>
        <w:t>;</w:t>
      </w:r>
    </w:p>
    <w:p w:rsidR="00604C6D" w:rsidRPr="00781564" w:rsidRDefault="00604C6D" w:rsidP="00604C6D">
      <w:r>
        <w:t xml:space="preserve"> </w:t>
      </w:r>
      <w:r w:rsidRPr="002E5AA0">
        <w:t xml:space="preserve">  </w:t>
      </w:r>
    </w:p>
    <w:p w:rsidR="00604C6D" w:rsidRPr="00781564" w:rsidRDefault="00604C6D" w:rsidP="00604C6D">
      <w:pPr>
        <w:ind w:firstLine="720"/>
      </w:pPr>
      <w:r w:rsidRPr="00781564">
        <w:lastRenderedPageBreak/>
        <w:t xml:space="preserve">URGES all </w:t>
      </w:r>
      <w:r>
        <w:t xml:space="preserve">Member </w:t>
      </w:r>
      <w:r w:rsidRPr="00781564">
        <w:t xml:space="preserve">States to place a high priority on working </w:t>
      </w:r>
      <w:r>
        <w:t xml:space="preserve">together </w:t>
      </w:r>
      <w:r w:rsidRPr="00781564">
        <w:t xml:space="preserve">towards the </w:t>
      </w:r>
      <w:r>
        <w:t xml:space="preserve">rapid </w:t>
      </w:r>
      <w:r w:rsidRPr="00781564">
        <w:t xml:space="preserve">implementation </w:t>
      </w:r>
      <w:r>
        <w:t xml:space="preserve">and entry into force </w:t>
      </w:r>
      <w:r w:rsidRPr="00781564">
        <w:t xml:space="preserve">of the HNS </w:t>
      </w:r>
      <w:r>
        <w:t>Protocol</w:t>
      </w:r>
      <w:r w:rsidRPr="00781564">
        <w:t>, and in resolving any practical difficulties in setting up the new regime</w:t>
      </w:r>
      <w:r>
        <w:t>;</w:t>
      </w:r>
    </w:p>
    <w:p w:rsidR="00604C6D" w:rsidRPr="00781564" w:rsidRDefault="00604C6D" w:rsidP="00604C6D"/>
    <w:p w:rsidR="00604C6D" w:rsidRPr="00781564" w:rsidRDefault="00604C6D" w:rsidP="00604C6D">
      <w:pPr>
        <w:ind w:firstLine="720"/>
      </w:pPr>
      <w:r>
        <w:t>[</w:t>
      </w:r>
      <w:r w:rsidRPr="00781564">
        <w:t>ENCOURAGES</w:t>
      </w:r>
      <w:r>
        <w:t xml:space="preserve"> FURTHER</w:t>
      </w:r>
      <w:r w:rsidRPr="00781564">
        <w:t xml:space="preserve"> all States to participate in the on-going work of the HNS Correspondence Group and to work together with industry to assist in the implementation process by </w:t>
      </w:r>
      <w:r>
        <w:t xml:space="preserve">using the tools that are made available and </w:t>
      </w:r>
      <w:r w:rsidRPr="00781564">
        <w:t xml:space="preserve">sharing </w:t>
      </w:r>
      <w:r>
        <w:t xml:space="preserve">best practices </w:t>
      </w:r>
      <w:r w:rsidRPr="00781564">
        <w:t>on identifying receivers, contributing cargo and other relevant information</w:t>
      </w:r>
      <w:r>
        <w:t>; and]</w:t>
      </w:r>
    </w:p>
    <w:p w:rsidR="00604C6D" w:rsidRPr="00781564" w:rsidRDefault="00604C6D" w:rsidP="00604C6D"/>
    <w:p w:rsidR="00604C6D" w:rsidRPr="00781564" w:rsidRDefault="00604C6D" w:rsidP="00604C6D">
      <w:r>
        <w:tab/>
        <w:t>[</w:t>
      </w:r>
      <w:r w:rsidRPr="00781564">
        <w:t>REQUESTS the Legal Committee</w:t>
      </w:r>
      <w:r>
        <w:t xml:space="preserve">, when reporting to the Assembly, specifically to address the </w:t>
      </w:r>
      <w:r w:rsidRPr="00781564">
        <w:t xml:space="preserve">progress </w:t>
      </w:r>
      <w:r>
        <w:t xml:space="preserve">made and practical issues encountered in accepting and </w:t>
      </w:r>
      <w:r w:rsidRPr="00781564">
        <w:t xml:space="preserve">implementing the HNS </w:t>
      </w:r>
      <w:r>
        <w:t>Protocol</w:t>
      </w:r>
      <w:r w:rsidRPr="00781564">
        <w:t>.</w:t>
      </w:r>
      <w:r>
        <w:t>]</w:t>
      </w:r>
    </w:p>
    <w:p w:rsidR="00604C6D" w:rsidRPr="00781564" w:rsidRDefault="00604C6D" w:rsidP="00604C6D">
      <w:pPr>
        <w:rPr>
          <w:b/>
        </w:rPr>
      </w:pPr>
    </w:p>
    <w:p w:rsidR="00604C6D" w:rsidRPr="00781564" w:rsidRDefault="00604C6D" w:rsidP="00604C6D">
      <w:pPr>
        <w:rPr>
          <w:b/>
        </w:rPr>
      </w:pPr>
    </w:p>
    <w:p w:rsidR="00604C6D" w:rsidRPr="00781564" w:rsidRDefault="00604C6D" w:rsidP="00604C6D">
      <w:pPr>
        <w:jc w:val="center"/>
        <w:rPr>
          <w:b/>
        </w:rPr>
      </w:pPr>
      <w:r w:rsidRPr="00781564">
        <w:rPr>
          <w:b/>
        </w:rPr>
        <w:t>_________</w:t>
      </w:r>
    </w:p>
    <w:p w:rsidR="00604C6D" w:rsidRDefault="00604C6D" w:rsidP="00604C6D"/>
    <w:p w:rsidR="005B6861" w:rsidRDefault="005B6861" w:rsidP="00604C6D">
      <w:pPr>
        <w:tabs>
          <w:tab w:val="clear" w:pos="851"/>
        </w:tabs>
        <w:jc w:val="left"/>
      </w:pPr>
    </w:p>
    <w:sectPr w:rsidR="005B6861" w:rsidSect="00101B77">
      <w:headerReference w:type="even" r:id="rId12"/>
      <w:headerReference w:type="default" r:id="rId13"/>
      <w:footerReference w:type="default" r:id="rId14"/>
      <w:footerReference w:type="first" r:id="rId15"/>
      <w:pgSz w:w="11906" w:h="16838" w:code="9"/>
      <w:pgMar w:top="1134" w:right="1418" w:bottom="1418" w:left="1418" w:header="851" w:footer="851"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265" w:rsidRDefault="00C05265">
      <w:r>
        <w:separator/>
      </w:r>
    </w:p>
  </w:endnote>
  <w:endnote w:type="continuationSeparator" w:id="0">
    <w:p w:rsidR="00C05265" w:rsidRDefault="00C05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A33" w:rsidRDefault="00F16A33">
    <w:pPr>
      <w:pStyle w:val="Footer"/>
    </w:pPr>
  </w:p>
  <w:p w:rsidR="00F16A33" w:rsidRDefault="00F51D88" w:rsidP="00F45CED">
    <w:pPr>
      <w:pStyle w:val="Footer"/>
      <w:pBdr>
        <w:top w:val="single" w:sz="4" w:space="1" w:color="auto"/>
      </w:pBdr>
    </w:pPr>
    <w:r>
      <w:rPr>
        <w:lang w:val="en-US"/>
      </w:rPr>
      <w:fldChar w:fldCharType="begin"/>
    </w:r>
    <w:r w:rsidR="00F16A33">
      <w:rPr>
        <w:lang w:val="en-US"/>
      </w:rPr>
      <w:instrText xml:space="preserve"> FILENAME \p </w:instrText>
    </w:r>
    <w:r>
      <w:rPr>
        <w:lang w:val="en-US"/>
      </w:rPr>
      <w:fldChar w:fldCharType="separate"/>
    </w:r>
    <w:r w:rsidR="00F615A8">
      <w:rPr>
        <w:noProof/>
        <w:lang w:val="en-US"/>
      </w:rPr>
      <w:t>C:\Users\rochetc\AppData\Local\Microsoft\Windows\Temporary Internet Files\Content.Outlook\VSYMN0YW\IMO Paper on HNS Resolution.docx</w:t>
    </w:r>
    <w:r>
      <w:rPr>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A33" w:rsidRDefault="00F16A33">
    <w:pPr>
      <w:pStyle w:val="Footer"/>
    </w:pPr>
  </w:p>
  <w:p w:rsidR="00F16A33" w:rsidRDefault="00F16A33" w:rsidP="007B62F6">
    <w:pPr>
      <w:pStyle w:val="Footer"/>
      <w:pBdr>
        <w:top w:val="single" w:sz="4" w:space="1" w:color="auto"/>
      </w:pBdr>
      <w:rPr>
        <w:lang w:val="en-US"/>
      </w:rPr>
    </w:pPr>
  </w:p>
  <w:p w:rsidR="00F8492A" w:rsidRPr="007B62F6" w:rsidRDefault="003C0EF0" w:rsidP="00F8492A">
    <w:pPr>
      <w:pStyle w:val="Footer"/>
      <w:pBdr>
        <w:top w:val="single" w:sz="4" w:space="1" w:color="auto"/>
      </w:pBdr>
      <w:jc w:val="right"/>
      <w:rPr>
        <w:lang w:val="en-US"/>
      </w:rPr>
    </w:pPr>
    <w:r>
      <w:rPr>
        <w:noProof/>
        <w:lang w:val="en-US"/>
      </w:rPr>
      <w:drawing>
        <wp:inline distT="0" distB="0" distL="0" distR="0">
          <wp:extent cx="1393200" cy="572400"/>
          <wp:effectExtent l="0" t="0" r="0" b="0"/>
          <wp:docPr id="2" name="Picture 2" descr="\\a012267\c$\Users\jshen\Desktop\WMD logo 2016-English-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012267\c$\Users\jshen\Desktop\WMD logo 2016-English-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3200" cy="57240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265" w:rsidRDefault="00C05265">
      <w:r>
        <w:separator/>
      </w:r>
    </w:p>
  </w:footnote>
  <w:footnote w:type="continuationSeparator" w:id="0">
    <w:p w:rsidR="00C05265" w:rsidRDefault="00C052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A33" w:rsidRDefault="00F16A33" w:rsidP="001C38E9">
    <w:pPr>
      <w:pStyle w:val="Header"/>
    </w:pPr>
    <w:bookmarkStart w:id="15" w:name="symbol_headFootEven"/>
    <w:bookmarkEnd w:id="15"/>
  </w:p>
  <w:p w:rsidR="00F16A33" w:rsidRDefault="00F16A33" w:rsidP="001C38E9">
    <w:pPr>
      <w:pStyle w:val="Header"/>
      <w:pBdr>
        <w:bottom w:val="single" w:sz="4" w:space="1" w:color="auto"/>
      </w:pBdr>
      <w:rPr>
        <w:rStyle w:val="PageNumber"/>
      </w:rPr>
    </w:pPr>
    <w:r>
      <w:t xml:space="preserve">Page </w:t>
    </w:r>
    <w:r w:rsidR="00F51D88">
      <w:rPr>
        <w:rStyle w:val="PageNumber"/>
      </w:rPr>
      <w:fldChar w:fldCharType="begin"/>
    </w:r>
    <w:r>
      <w:rPr>
        <w:rStyle w:val="PageNumber"/>
      </w:rPr>
      <w:instrText xml:space="preserve"> PAGE </w:instrText>
    </w:r>
    <w:r w:rsidR="00F51D88">
      <w:rPr>
        <w:rStyle w:val="PageNumber"/>
      </w:rPr>
      <w:fldChar w:fldCharType="separate"/>
    </w:r>
    <w:r w:rsidR="006C241F">
      <w:rPr>
        <w:rStyle w:val="PageNumber"/>
        <w:noProof/>
      </w:rPr>
      <w:t>4</w:t>
    </w:r>
    <w:r w:rsidR="00F51D88">
      <w:rPr>
        <w:rStyle w:val="PageNumber"/>
      </w:rPr>
      <w:fldChar w:fldCharType="end"/>
    </w:r>
  </w:p>
  <w:p w:rsidR="00F16A33" w:rsidRDefault="00F16A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6A33" w:rsidRDefault="00F16A33" w:rsidP="006358B3">
    <w:pPr>
      <w:pStyle w:val="Header"/>
      <w:jc w:val="right"/>
    </w:pPr>
    <w:bookmarkStart w:id="16" w:name="symbol_headFoot"/>
    <w:bookmarkEnd w:id="16"/>
  </w:p>
  <w:p w:rsidR="00F16A33" w:rsidRDefault="00F16A33" w:rsidP="006358B3">
    <w:pPr>
      <w:pStyle w:val="Header"/>
      <w:pBdr>
        <w:bottom w:val="single" w:sz="4" w:space="1" w:color="auto"/>
      </w:pBdr>
      <w:jc w:val="right"/>
      <w:rPr>
        <w:rStyle w:val="PageNumber"/>
      </w:rPr>
    </w:pPr>
    <w:r>
      <w:t xml:space="preserve">Page </w:t>
    </w:r>
    <w:r w:rsidR="00F51D88">
      <w:rPr>
        <w:rStyle w:val="PageNumber"/>
      </w:rPr>
      <w:fldChar w:fldCharType="begin"/>
    </w:r>
    <w:r>
      <w:rPr>
        <w:rStyle w:val="PageNumber"/>
      </w:rPr>
      <w:instrText xml:space="preserve"> PAGE </w:instrText>
    </w:r>
    <w:r w:rsidR="00F51D88">
      <w:rPr>
        <w:rStyle w:val="PageNumber"/>
      </w:rPr>
      <w:fldChar w:fldCharType="separate"/>
    </w:r>
    <w:r w:rsidR="006C241F">
      <w:rPr>
        <w:rStyle w:val="PageNumber"/>
        <w:noProof/>
      </w:rPr>
      <w:t>5</w:t>
    </w:r>
    <w:r w:rsidR="00F51D88">
      <w:rPr>
        <w:rStyle w:val="PageNumber"/>
      </w:rPr>
      <w:fldChar w:fldCharType="end"/>
    </w:r>
  </w:p>
  <w:p w:rsidR="00F16A33" w:rsidRDefault="00F16A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D10D3EA"/>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306E52B4"/>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2AE88AD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3B104732"/>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8CF288B8"/>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0D8425C"/>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A6AEB1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83A11AA"/>
    <w:multiLevelType w:val="multilevel"/>
    <w:tmpl w:val="28523B38"/>
    <w:lvl w:ilvl="0">
      <w:start w:val="1"/>
      <w:numFmt w:val="decimal"/>
      <w:pStyle w:val="level1heading"/>
      <w:lvlText w:val="%1"/>
      <w:lvlJc w:val="left"/>
      <w:pPr>
        <w:tabs>
          <w:tab w:val="num" w:pos="720"/>
        </w:tabs>
        <w:ind w:left="720" w:hanging="720"/>
      </w:pPr>
      <w:rPr>
        <w:rFonts w:cs="Times New Roman" w:hint="default"/>
        <w:b/>
        <w:i w:val="0"/>
      </w:rPr>
    </w:lvl>
    <w:lvl w:ilvl="1">
      <w:start w:val="1"/>
      <w:numFmt w:val="decimal"/>
      <w:pStyle w:val="level2heading"/>
      <w:lvlText w:val="%1.%2"/>
      <w:lvlJc w:val="left"/>
      <w:pPr>
        <w:tabs>
          <w:tab w:val="num" w:pos="720"/>
        </w:tabs>
        <w:ind w:left="720" w:hanging="720"/>
      </w:pPr>
      <w:rPr>
        <w:rFonts w:cs="Times New Roman" w:hint="default"/>
        <w:b w:val="0"/>
        <w:bCs w:val="0"/>
        <w:i w:val="0"/>
        <w:iCs w:val="0"/>
        <w:color w:val="auto"/>
      </w:rPr>
    </w:lvl>
    <w:lvl w:ilvl="2">
      <w:start w:val="1"/>
      <w:numFmt w:val="decimal"/>
      <w:lvlText w:val="%3.1"/>
      <w:lvlJc w:val="left"/>
      <w:pPr>
        <w:tabs>
          <w:tab w:val="num" w:pos="720"/>
        </w:tabs>
        <w:ind w:left="720" w:hanging="720"/>
      </w:pPr>
      <w:rPr>
        <w:rFonts w:hint="default"/>
        <w:b w:val="0"/>
        <w:bCs w:val="0"/>
        <w:i w:val="0"/>
        <w:iCs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720" w:hanging="720"/>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15:restartNumberingAfterBreak="0">
    <w:nsid w:val="4F0367EC"/>
    <w:multiLevelType w:val="hybridMultilevel"/>
    <w:tmpl w:val="BEE6F1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A114FE0"/>
    <w:multiLevelType w:val="hybridMultilevel"/>
    <w:tmpl w:val="EFE82E2C"/>
    <w:lvl w:ilvl="0" w:tplc="9A042282">
      <w:start w:val="1"/>
      <w:numFmt w:val="bullet"/>
      <w:lvlText w:val="–"/>
      <w:lvlJc w:val="left"/>
      <w:pPr>
        <w:tabs>
          <w:tab w:val="num" w:pos="720"/>
        </w:tabs>
        <w:ind w:left="720" w:hanging="360"/>
      </w:pPr>
      <w:rPr>
        <w:rFonts w:ascii="Arial" w:hAnsi="Arial" w:hint="default"/>
      </w:rPr>
    </w:lvl>
    <w:lvl w:ilvl="1" w:tplc="3684CF06">
      <w:start w:val="1"/>
      <w:numFmt w:val="bullet"/>
      <w:lvlText w:val="–"/>
      <w:lvlJc w:val="left"/>
      <w:pPr>
        <w:tabs>
          <w:tab w:val="num" w:pos="1440"/>
        </w:tabs>
        <w:ind w:left="1440" w:hanging="360"/>
      </w:pPr>
      <w:rPr>
        <w:rFonts w:ascii="Arial" w:hAnsi="Arial" w:hint="default"/>
      </w:rPr>
    </w:lvl>
    <w:lvl w:ilvl="2" w:tplc="95683AE4">
      <w:start w:val="59"/>
      <w:numFmt w:val="bullet"/>
      <w:lvlText w:val="•"/>
      <w:lvlJc w:val="left"/>
      <w:pPr>
        <w:tabs>
          <w:tab w:val="num" w:pos="2160"/>
        </w:tabs>
        <w:ind w:left="2160" w:hanging="360"/>
      </w:pPr>
      <w:rPr>
        <w:rFonts w:ascii="Arial" w:hAnsi="Arial" w:hint="default"/>
      </w:rPr>
    </w:lvl>
    <w:lvl w:ilvl="3" w:tplc="B224A546" w:tentative="1">
      <w:start w:val="1"/>
      <w:numFmt w:val="bullet"/>
      <w:lvlText w:val="–"/>
      <w:lvlJc w:val="left"/>
      <w:pPr>
        <w:tabs>
          <w:tab w:val="num" w:pos="2880"/>
        </w:tabs>
        <w:ind w:left="2880" w:hanging="360"/>
      </w:pPr>
      <w:rPr>
        <w:rFonts w:ascii="Arial" w:hAnsi="Arial" w:hint="default"/>
      </w:rPr>
    </w:lvl>
    <w:lvl w:ilvl="4" w:tplc="D8282628" w:tentative="1">
      <w:start w:val="1"/>
      <w:numFmt w:val="bullet"/>
      <w:lvlText w:val="–"/>
      <w:lvlJc w:val="left"/>
      <w:pPr>
        <w:tabs>
          <w:tab w:val="num" w:pos="3600"/>
        </w:tabs>
        <w:ind w:left="3600" w:hanging="360"/>
      </w:pPr>
      <w:rPr>
        <w:rFonts w:ascii="Arial" w:hAnsi="Arial" w:hint="default"/>
      </w:rPr>
    </w:lvl>
    <w:lvl w:ilvl="5" w:tplc="2926F466" w:tentative="1">
      <w:start w:val="1"/>
      <w:numFmt w:val="bullet"/>
      <w:lvlText w:val="–"/>
      <w:lvlJc w:val="left"/>
      <w:pPr>
        <w:tabs>
          <w:tab w:val="num" w:pos="4320"/>
        </w:tabs>
        <w:ind w:left="4320" w:hanging="360"/>
      </w:pPr>
      <w:rPr>
        <w:rFonts w:ascii="Arial" w:hAnsi="Arial" w:hint="default"/>
      </w:rPr>
    </w:lvl>
    <w:lvl w:ilvl="6" w:tplc="750CCF5A" w:tentative="1">
      <w:start w:val="1"/>
      <w:numFmt w:val="bullet"/>
      <w:lvlText w:val="–"/>
      <w:lvlJc w:val="left"/>
      <w:pPr>
        <w:tabs>
          <w:tab w:val="num" w:pos="5040"/>
        </w:tabs>
        <w:ind w:left="5040" w:hanging="360"/>
      </w:pPr>
      <w:rPr>
        <w:rFonts w:ascii="Arial" w:hAnsi="Arial" w:hint="default"/>
      </w:rPr>
    </w:lvl>
    <w:lvl w:ilvl="7" w:tplc="4774A440" w:tentative="1">
      <w:start w:val="1"/>
      <w:numFmt w:val="bullet"/>
      <w:lvlText w:val="–"/>
      <w:lvlJc w:val="left"/>
      <w:pPr>
        <w:tabs>
          <w:tab w:val="num" w:pos="5760"/>
        </w:tabs>
        <w:ind w:left="5760" w:hanging="360"/>
      </w:pPr>
      <w:rPr>
        <w:rFonts w:ascii="Arial" w:hAnsi="Arial" w:hint="default"/>
      </w:rPr>
    </w:lvl>
    <w:lvl w:ilvl="8" w:tplc="DADCC94E"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4"/>
  </w:num>
  <w:num w:numId="3">
    <w:abstractNumId w:val="3"/>
  </w:num>
  <w:num w:numId="4">
    <w:abstractNumId w:val="2"/>
  </w:num>
  <w:num w:numId="5">
    <w:abstractNumId w:val="1"/>
  </w:num>
  <w:num w:numId="6">
    <w:abstractNumId w:val="5"/>
  </w:num>
  <w:num w:numId="7">
    <w:abstractNumId w:val="0"/>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evenAndOddHeaders/>
  <w:drawingGridHorizontalSpacing w:val="120"/>
  <w:drawingGridVerticalSpacing w:val="163"/>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nnexno" w:val="1"/>
    <w:docVar w:name="AskAnnex" w:val="Yes"/>
    <w:docVar w:name="Div" w:val="  "/>
    <w:docVar w:name="SingleAnnex" w:val="No"/>
    <w:docVar w:name="Symbol" w:val="789"/>
  </w:docVars>
  <w:rsids>
    <w:rsidRoot w:val="00284E22"/>
    <w:rsid w:val="00023FB2"/>
    <w:rsid w:val="000243EE"/>
    <w:rsid w:val="00036BD6"/>
    <w:rsid w:val="00047AB6"/>
    <w:rsid w:val="00057CD1"/>
    <w:rsid w:val="00091F43"/>
    <w:rsid w:val="00092456"/>
    <w:rsid w:val="000A1486"/>
    <w:rsid w:val="000B21FC"/>
    <w:rsid w:val="000C052B"/>
    <w:rsid w:val="000E5579"/>
    <w:rsid w:val="00101B77"/>
    <w:rsid w:val="00104B50"/>
    <w:rsid w:val="001145C0"/>
    <w:rsid w:val="00115DE6"/>
    <w:rsid w:val="00136B6D"/>
    <w:rsid w:val="0016334B"/>
    <w:rsid w:val="00174B7E"/>
    <w:rsid w:val="00195D8C"/>
    <w:rsid w:val="001B1AEA"/>
    <w:rsid w:val="001B4795"/>
    <w:rsid w:val="001C38E9"/>
    <w:rsid w:val="001C5269"/>
    <w:rsid w:val="001D5119"/>
    <w:rsid w:val="001E1D88"/>
    <w:rsid w:val="002249BD"/>
    <w:rsid w:val="00227352"/>
    <w:rsid w:val="00234A25"/>
    <w:rsid w:val="00276B83"/>
    <w:rsid w:val="00284E22"/>
    <w:rsid w:val="00296ABD"/>
    <w:rsid w:val="00296B04"/>
    <w:rsid w:val="002E2874"/>
    <w:rsid w:val="002E7EEA"/>
    <w:rsid w:val="002F3B13"/>
    <w:rsid w:val="00334BF4"/>
    <w:rsid w:val="00335A68"/>
    <w:rsid w:val="00341E44"/>
    <w:rsid w:val="00374E16"/>
    <w:rsid w:val="00385654"/>
    <w:rsid w:val="00391C8D"/>
    <w:rsid w:val="003B69F4"/>
    <w:rsid w:val="003B7275"/>
    <w:rsid w:val="003C0EF0"/>
    <w:rsid w:val="003C456D"/>
    <w:rsid w:val="003C65BF"/>
    <w:rsid w:val="003D609D"/>
    <w:rsid w:val="003D7745"/>
    <w:rsid w:val="003E14DF"/>
    <w:rsid w:val="003F7958"/>
    <w:rsid w:val="00402E0A"/>
    <w:rsid w:val="00403123"/>
    <w:rsid w:val="00422711"/>
    <w:rsid w:val="0043408E"/>
    <w:rsid w:val="0044628F"/>
    <w:rsid w:val="00460DFE"/>
    <w:rsid w:val="004660AA"/>
    <w:rsid w:val="00470C45"/>
    <w:rsid w:val="00486E44"/>
    <w:rsid w:val="00494818"/>
    <w:rsid w:val="004C122F"/>
    <w:rsid w:val="004D2DEE"/>
    <w:rsid w:val="004D5822"/>
    <w:rsid w:val="004F452B"/>
    <w:rsid w:val="00502857"/>
    <w:rsid w:val="00505E27"/>
    <w:rsid w:val="00511240"/>
    <w:rsid w:val="0052006D"/>
    <w:rsid w:val="00531ECE"/>
    <w:rsid w:val="00543FF9"/>
    <w:rsid w:val="00547752"/>
    <w:rsid w:val="00560202"/>
    <w:rsid w:val="00560940"/>
    <w:rsid w:val="00565408"/>
    <w:rsid w:val="0056648E"/>
    <w:rsid w:val="00596997"/>
    <w:rsid w:val="005A0FEC"/>
    <w:rsid w:val="005B0666"/>
    <w:rsid w:val="005B52F1"/>
    <w:rsid w:val="005B6861"/>
    <w:rsid w:val="005C7F93"/>
    <w:rsid w:val="00600293"/>
    <w:rsid w:val="00603521"/>
    <w:rsid w:val="00604C6D"/>
    <w:rsid w:val="00606907"/>
    <w:rsid w:val="00625BD3"/>
    <w:rsid w:val="006358B3"/>
    <w:rsid w:val="00636377"/>
    <w:rsid w:val="00685B19"/>
    <w:rsid w:val="006B3B7E"/>
    <w:rsid w:val="006C241F"/>
    <w:rsid w:val="006D256B"/>
    <w:rsid w:val="00701ED5"/>
    <w:rsid w:val="0071162D"/>
    <w:rsid w:val="00715233"/>
    <w:rsid w:val="00716A8D"/>
    <w:rsid w:val="007612D9"/>
    <w:rsid w:val="00771EB2"/>
    <w:rsid w:val="007B62F6"/>
    <w:rsid w:val="007D19FB"/>
    <w:rsid w:val="007E60D2"/>
    <w:rsid w:val="00804634"/>
    <w:rsid w:val="0080705A"/>
    <w:rsid w:val="008203B2"/>
    <w:rsid w:val="00827A6A"/>
    <w:rsid w:val="00835716"/>
    <w:rsid w:val="0083733C"/>
    <w:rsid w:val="00856BBD"/>
    <w:rsid w:val="008820C2"/>
    <w:rsid w:val="008B11BA"/>
    <w:rsid w:val="008B454F"/>
    <w:rsid w:val="009054BF"/>
    <w:rsid w:val="0091337A"/>
    <w:rsid w:val="00913E06"/>
    <w:rsid w:val="009300F1"/>
    <w:rsid w:val="009937C2"/>
    <w:rsid w:val="009A670A"/>
    <w:rsid w:val="009C79A9"/>
    <w:rsid w:val="009D193B"/>
    <w:rsid w:val="009D4FC6"/>
    <w:rsid w:val="00A13A58"/>
    <w:rsid w:val="00A16818"/>
    <w:rsid w:val="00A175A6"/>
    <w:rsid w:val="00A804CC"/>
    <w:rsid w:val="00A84B73"/>
    <w:rsid w:val="00A9138A"/>
    <w:rsid w:val="00A972EA"/>
    <w:rsid w:val="00AD02A1"/>
    <w:rsid w:val="00AD0927"/>
    <w:rsid w:val="00AE60E3"/>
    <w:rsid w:val="00B2131D"/>
    <w:rsid w:val="00B33B6D"/>
    <w:rsid w:val="00B44A38"/>
    <w:rsid w:val="00B57BC7"/>
    <w:rsid w:val="00B60C98"/>
    <w:rsid w:val="00B615A1"/>
    <w:rsid w:val="00B75A50"/>
    <w:rsid w:val="00BC5715"/>
    <w:rsid w:val="00BC6808"/>
    <w:rsid w:val="00BE3514"/>
    <w:rsid w:val="00BE3598"/>
    <w:rsid w:val="00BE7533"/>
    <w:rsid w:val="00C0184B"/>
    <w:rsid w:val="00C05265"/>
    <w:rsid w:val="00C05B94"/>
    <w:rsid w:val="00C16736"/>
    <w:rsid w:val="00C40E98"/>
    <w:rsid w:val="00C4608F"/>
    <w:rsid w:val="00C73DD8"/>
    <w:rsid w:val="00C870B5"/>
    <w:rsid w:val="00CA7F9E"/>
    <w:rsid w:val="00CB1694"/>
    <w:rsid w:val="00CD5408"/>
    <w:rsid w:val="00CF1A1B"/>
    <w:rsid w:val="00D212D4"/>
    <w:rsid w:val="00D26663"/>
    <w:rsid w:val="00D267F3"/>
    <w:rsid w:val="00D43AD8"/>
    <w:rsid w:val="00D725D6"/>
    <w:rsid w:val="00D76C08"/>
    <w:rsid w:val="00DA435A"/>
    <w:rsid w:val="00DA4F85"/>
    <w:rsid w:val="00DC5D24"/>
    <w:rsid w:val="00DE2A18"/>
    <w:rsid w:val="00DE587B"/>
    <w:rsid w:val="00DE6231"/>
    <w:rsid w:val="00DE658A"/>
    <w:rsid w:val="00E11AF4"/>
    <w:rsid w:val="00E27F2D"/>
    <w:rsid w:val="00E3006C"/>
    <w:rsid w:val="00E371B8"/>
    <w:rsid w:val="00E40EEF"/>
    <w:rsid w:val="00E6422C"/>
    <w:rsid w:val="00E83844"/>
    <w:rsid w:val="00EA39D7"/>
    <w:rsid w:val="00EE5E52"/>
    <w:rsid w:val="00F16A33"/>
    <w:rsid w:val="00F35371"/>
    <w:rsid w:val="00F447CB"/>
    <w:rsid w:val="00F45CED"/>
    <w:rsid w:val="00F51D88"/>
    <w:rsid w:val="00F615A8"/>
    <w:rsid w:val="00F62F20"/>
    <w:rsid w:val="00F719B8"/>
    <w:rsid w:val="00F726A5"/>
    <w:rsid w:val="00F8492A"/>
    <w:rsid w:val="00F90033"/>
    <w:rsid w:val="00F9489C"/>
    <w:rsid w:val="00FC2797"/>
    <w:rsid w:val="00FD403B"/>
    <w:rsid w:val="00FD766F"/>
    <w:rsid w:val="00FF12DF"/>
    <w:rsid w:val="00FF4977"/>
    <w:rsid w:val="00FF7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57D48581-5B07-44B7-9CF3-EEB7E3CDC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C33"/>
    <w:pPr>
      <w:tabs>
        <w:tab w:val="left" w:pos="851"/>
      </w:tabs>
      <w:jc w:val="both"/>
    </w:pPr>
    <w:rPr>
      <w:rFonts w:ascii="Arial" w:hAnsi="Arial"/>
      <w:sz w:val="22"/>
      <w:lang w:eastAsia="en-US"/>
    </w:rPr>
  </w:style>
  <w:style w:type="paragraph" w:styleId="Heading1">
    <w:name w:val="heading 1"/>
    <w:basedOn w:val="Normal"/>
    <w:next w:val="Normal"/>
    <w:qFormat/>
    <w:rsid w:val="00F51D88"/>
    <w:pPr>
      <w:outlineLvl w:val="0"/>
    </w:pPr>
  </w:style>
  <w:style w:type="paragraph" w:styleId="Heading2">
    <w:name w:val="heading 2"/>
    <w:basedOn w:val="Normal"/>
    <w:next w:val="Normal"/>
    <w:qFormat/>
    <w:rsid w:val="00F51D88"/>
    <w:pPr>
      <w:outlineLvl w:val="1"/>
    </w:pPr>
  </w:style>
  <w:style w:type="paragraph" w:styleId="Heading3">
    <w:name w:val="heading 3"/>
    <w:basedOn w:val="Normal"/>
    <w:next w:val="Normal"/>
    <w:qFormat/>
    <w:rsid w:val="00F51D88"/>
    <w:pPr>
      <w:outlineLvl w:val="2"/>
    </w:pPr>
  </w:style>
  <w:style w:type="paragraph" w:styleId="Heading4">
    <w:name w:val="heading 4"/>
    <w:basedOn w:val="Normal"/>
    <w:next w:val="Normal"/>
    <w:qFormat/>
    <w:rsid w:val="00F51D88"/>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F51D88"/>
  </w:style>
  <w:style w:type="paragraph" w:styleId="Header">
    <w:name w:val="header"/>
    <w:basedOn w:val="Normal"/>
    <w:rsid w:val="00F51D88"/>
    <w:pPr>
      <w:tabs>
        <w:tab w:val="center" w:pos="4153"/>
        <w:tab w:val="right" w:pos="8306"/>
      </w:tabs>
    </w:pPr>
  </w:style>
  <w:style w:type="paragraph" w:styleId="Footer">
    <w:name w:val="footer"/>
    <w:basedOn w:val="Normal"/>
    <w:rsid w:val="00FF7C33"/>
    <w:pPr>
      <w:tabs>
        <w:tab w:val="center" w:pos="4153"/>
        <w:tab w:val="right" w:pos="8306"/>
      </w:tabs>
    </w:pPr>
    <w:rPr>
      <w:sz w:val="18"/>
    </w:rPr>
  </w:style>
  <w:style w:type="table" w:styleId="TableGrid">
    <w:name w:val="Table Grid"/>
    <w:basedOn w:val="TableNormal"/>
    <w:rsid w:val="00F726A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rsid w:val="00A972EA"/>
    <w:pPr>
      <w:jc w:val="left"/>
    </w:pPr>
    <w:rPr>
      <w:szCs w:val="24"/>
      <w:lang w:val="pl-PL" w:eastAsia="pl-PL"/>
    </w:rPr>
  </w:style>
  <w:style w:type="character" w:styleId="FootnoteReference">
    <w:name w:val="footnote reference"/>
    <w:rsid w:val="00334BF4"/>
    <w:rPr>
      <w:rFonts w:ascii="Arial" w:hAnsi="Arial"/>
      <w:sz w:val="22"/>
      <w:vertAlign w:val="superscript"/>
    </w:rPr>
  </w:style>
  <w:style w:type="paragraph" w:styleId="FootnoteText">
    <w:name w:val="footnote text"/>
    <w:basedOn w:val="Normal"/>
    <w:rsid w:val="0083733C"/>
    <w:pPr>
      <w:tabs>
        <w:tab w:val="clear" w:pos="851"/>
        <w:tab w:val="left" w:pos="567"/>
      </w:tabs>
      <w:ind w:left="567" w:hanging="567"/>
    </w:pPr>
    <w:rPr>
      <w:sz w:val="18"/>
    </w:rPr>
  </w:style>
  <w:style w:type="paragraph" w:styleId="BalloonText">
    <w:name w:val="Balloon Text"/>
    <w:basedOn w:val="Normal"/>
    <w:link w:val="BalloonTextChar"/>
    <w:uiPriority w:val="99"/>
    <w:semiHidden/>
    <w:unhideWhenUsed/>
    <w:rsid w:val="00023FB2"/>
    <w:rPr>
      <w:rFonts w:ascii="Tahoma" w:hAnsi="Tahoma" w:cs="Tahoma"/>
      <w:sz w:val="16"/>
      <w:szCs w:val="16"/>
    </w:rPr>
  </w:style>
  <w:style w:type="character" w:customStyle="1" w:styleId="BalloonTextChar">
    <w:name w:val="Balloon Text Char"/>
    <w:basedOn w:val="DefaultParagraphFont"/>
    <w:link w:val="BalloonText"/>
    <w:uiPriority w:val="99"/>
    <w:semiHidden/>
    <w:rsid w:val="00023FB2"/>
    <w:rPr>
      <w:rFonts w:ascii="Tahoma" w:hAnsi="Tahoma" w:cs="Tahoma"/>
      <w:sz w:val="16"/>
      <w:szCs w:val="16"/>
      <w:lang w:eastAsia="en-US"/>
    </w:rPr>
  </w:style>
  <w:style w:type="paragraph" w:customStyle="1" w:styleId="Default">
    <w:name w:val="Default"/>
    <w:rsid w:val="00F447CB"/>
    <w:pPr>
      <w:autoSpaceDE w:val="0"/>
      <w:autoSpaceDN w:val="0"/>
      <w:adjustRightInd w:val="0"/>
    </w:pPr>
    <w:rPr>
      <w:rFonts w:ascii="Arial" w:hAnsi="Arial" w:cs="Arial"/>
      <w:color w:val="000000"/>
      <w:sz w:val="24"/>
      <w:szCs w:val="24"/>
      <w:lang w:val="en-US"/>
    </w:rPr>
  </w:style>
  <w:style w:type="character" w:styleId="Hyperlink">
    <w:name w:val="Hyperlink"/>
    <w:basedOn w:val="DefaultParagraphFont"/>
    <w:uiPriority w:val="99"/>
    <w:unhideWhenUsed/>
    <w:rsid w:val="005B6861"/>
    <w:rPr>
      <w:color w:val="0000FF"/>
      <w:u w:val="single"/>
    </w:rPr>
  </w:style>
  <w:style w:type="paragraph" w:customStyle="1" w:styleId="level1heading">
    <w:name w:val="level 1 heading"/>
    <w:basedOn w:val="Normal"/>
    <w:qFormat/>
    <w:rsid w:val="005B6861"/>
    <w:pPr>
      <w:numPr>
        <w:numId w:val="8"/>
      </w:numPr>
      <w:tabs>
        <w:tab w:val="clear" w:pos="851"/>
        <w:tab w:val="left" w:pos="2880"/>
        <w:tab w:val="left" w:pos="7200"/>
      </w:tabs>
      <w:spacing w:after="240"/>
      <w:outlineLvl w:val="0"/>
    </w:pPr>
    <w:rPr>
      <w:rFonts w:ascii="Times New Roman" w:hAnsi="Times New Roman"/>
      <w:b/>
      <w:szCs w:val="22"/>
      <w:u w:val="single"/>
    </w:rPr>
  </w:style>
  <w:style w:type="paragraph" w:customStyle="1" w:styleId="level2heading">
    <w:name w:val="level 2 heading"/>
    <w:basedOn w:val="BodyText"/>
    <w:qFormat/>
    <w:rsid w:val="005B6861"/>
    <w:pPr>
      <w:numPr>
        <w:ilvl w:val="1"/>
        <w:numId w:val="8"/>
      </w:numPr>
      <w:tabs>
        <w:tab w:val="clear" w:pos="851"/>
        <w:tab w:val="left" w:pos="9214"/>
      </w:tabs>
      <w:spacing w:after="240"/>
      <w:outlineLvl w:val="1"/>
    </w:pPr>
    <w:rPr>
      <w:rFonts w:ascii="Times New Roman" w:hAnsi="Times New Roman"/>
      <w:szCs w:val="22"/>
      <w:u w:val="single"/>
    </w:rPr>
  </w:style>
  <w:style w:type="paragraph" w:customStyle="1" w:styleId="level2text">
    <w:name w:val="level 2 text"/>
    <w:basedOn w:val="level2heading"/>
    <w:link w:val="level2textChar"/>
    <w:qFormat/>
    <w:rsid w:val="005B6861"/>
    <w:rPr>
      <w:u w:val="none"/>
    </w:rPr>
  </w:style>
  <w:style w:type="character" w:customStyle="1" w:styleId="level2textChar">
    <w:name w:val="level 2 text Char"/>
    <w:basedOn w:val="DefaultParagraphFont"/>
    <w:link w:val="level2text"/>
    <w:rsid w:val="005B6861"/>
    <w:rPr>
      <w:sz w:val="22"/>
      <w:szCs w:val="22"/>
      <w:lang w:eastAsia="en-US"/>
    </w:rPr>
  </w:style>
  <w:style w:type="paragraph" w:styleId="BodyText">
    <w:name w:val="Body Text"/>
    <w:basedOn w:val="Normal"/>
    <w:link w:val="BodyTextChar"/>
    <w:uiPriority w:val="99"/>
    <w:semiHidden/>
    <w:unhideWhenUsed/>
    <w:rsid w:val="005B6861"/>
    <w:pPr>
      <w:spacing w:after="120"/>
    </w:pPr>
  </w:style>
  <w:style w:type="character" w:customStyle="1" w:styleId="BodyTextChar">
    <w:name w:val="Body Text Char"/>
    <w:basedOn w:val="DefaultParagraphFont"/>
    <w:link w:val="BodyText"/>
    <w:uiPriority w:val="99"/>
    <w:semiHidden/>
    <w:rsid w:val="005B6861"/>
    <w:rPr>
      <w:rFonts w:ascii="Arial" w:hAnsi="Arial"/>
      <w:sz w:val="22"/>
      <w:lang w:eastAsia="en-US"/>
    </w:rPr>
  </w:style>
  <w:style w:type="paragraph" w:customStyle="1" w:styleId="level3text">
    <w:name w:val="level 3 text"/>
    <w:basedOn w:val="ListParagraph"/>
    <w:qFormat/>
    <w:rsid w:val="005B6861"/>
    <w:pPr>
      <w:widowControl w:val="0"/>
      <w:tabs>
        <w:tab w:val="clear" w:pos="851"/>
      </w:tabs>
      <w:autoSpaceDE w:val="0"/>
      <w:autoSpaceDN w:val="0"/>
      <w:adjustRightInd w:val="0"/>
      <w:spacing w:before="240" w:after="240"/>
      <w:ind w:left="0"/>
      <w:contextualSpacing w:val="0"/>
    </w:pPr>
    <w:rPr>
      <w:rFonts w:ascii="Times New Roman" w:hAnsi="Times New Roman"/>
      <w:szCs w:val="22"/>
    </w:rPr>
  </w:style>
  <w:style w:type="paragraph" w:styleId="ListParagraph">
    <w:name w:val="List Paragraph"/>
    <w:basedOn w:val="Normal"/>
    <w:uiPriority w:val="34"/>
    <w:qFormat/>
    <w:rsid w:val="005B6861"/>
    <w:pPr>
      <w:ind w:left="720"/>
      <w:contextualSpacing/>
    </w:pPr>
  </w:style>
  <w:style w:type="character" w:styleId="CommentReference">
    <w:name w:val="annotation reference"/>
    <w:basedOn w:val="DefaultParagraphFont"/>
    <w:uiPriority w:val="99"/>
    <w:semiHidden/>
    <w:unhideWhenUsed/>
    <w:rsid w:val="008820C2"/>
    <w:rPr>
      <w:sz w:val="16"/>
      <w:szCs w:val="16"/>
    </w:rPr>
  </w:style>
  <w:style w:type="paragraph" w:styleId="CommentText">
    <w:name w:val="annotation text"/>
    <w:basedOn w:val="Normal"/>
    <w:link w:val="CommentTextChar"/>
    <w:uiPriority w:val="99"/>
    <w:semiHidden/>
    <w:unhideWhenUsed/>
    <w:rsid w:val="008820C2"/>
    <w:rPr>
      <w:sz w:val="20"/>
    </w:rPr>
  </w:style>
  <w:style w:type="character" w:customStyle="1" w:styleId="CommentTextChar">
    <w:name w:val="Comment Text Char"/>
    <w:basedOn w:val="DefaultParagraphFont"/>
    <w:link w:val="CommentText"/>
    <w:uiPriority w:val="99"/>
    <w:semiHidden/>
    <w:rsid w:val="008820C2"/>
    <w:rPr>
      <w:rFonts w:ascii="Arial" w:hAnsi="Arial"/>
      <w:lang w:eastAsia="en-US"/>
    </w:rPr>
  </w:style>
  <w:style w:type="paragraph" w:styleId="CommentSubject">
    <w:name w:val="annotation subject"/>
    <w:basedOn w:val="CommentText"/>
    <w:next w:val="CommentText"/>
    <w:link w:val="CommentSubjectChar"/>
    <w:uiPriority w:val="99"/>
    <w:semiHidden/>
    <w:unhideWhenUsed/>
    <w:rsid w:val="008820C2"/>
    <w:rPr>
      <w:b/>
      <w:bCs/>
    </w:rPr>
  </w:style>
  <w:style w:type="character" w:customStyle="1" w:styleId="CommentSubjectChar">
    <w:name w:val="Comment Subject Char"/>
    <w:basedOn w:val="CommentTextChar"/>
    <w:link w:val="CommentSubject"/>
    <w:uiPriority w:val="99"/>
    <w:semiHidden/>
    <w:rsid w:val="008820C2"/>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02998">
      <w:bodyDiv w:val="1"/>
      <w:marLeft w:val="0"/>
      <w:marRight w:val="0"/>
      <w:marTop w:val="0"/>
      <w:marBottom w:val="0"/>
      <w:divBdr>
        <w:top w:val="none" w:sz="0" w:space="0" w:color="auto"/>
        <w:left w:val="none" w:sz="0" w:space="0" w:color="auto"/>
        <w:bottom w:val="none" w:sz="0" w:space="0" w:color="auto"/>
        <w:right w:val="none" w:sz="0" w:space="0" w:color="auto"/>
      </w:divBdr>
    </w:div>
    <w:div w:id="1626542482">
      <w:bodyDiv w:val="1"/>
      <w:marLeft w:val="0"/>
      <w:marRight w:val="0"/>
      <w:marTop w:val="0"/>
      <w:marBottom w:val="0"/>
      <w:divBdr>
        <w:top w:val="none" w:sz="0" w:space="0" w:color="auto"/>
        <w:left w:val="none" w:sz="0" w:space="0" w:color="auto"/>
        <w:bottom w:val="none" w:sz="0" w:space="0" w:color="auto"/>
        <w:right w:val="none" w:sz="0" w:space="0" w:color="auto"/>
      </w:divBdr>
    </w:div>
    <w:div w:id="1913391143">
      <w:bodyDiv w:val="1"/>
      <w:marLeft w:val="0"/>
      <w:marRight w:val="0"/>
      <w:marTop w:val="0"/>
      <w:marBottom w:val="0"/>
      <w:divBdr>
        <w:top w:val="none" w:sz="0" w:space="0" w:color="auto"/>
        <w:left w:val="none" w:sz="0" w:space="0" w:color="auto"/>
        <w:bottom w:val="none" w:sz="0" w:space="0" w:color="auto"/>
        <w:right w:val="none" w:sz="0" w:space="0" w:color="auto"/>
      </w:divBdr>
      <w:divsChild>
        <w:div w:id="721754058">
          <w:marLeft w:val="1166"/>
          <w:marRight w:val="0"/>
          <w:marTop w:val="106"/>
          <w:marBottom w:val="0"/>
          <w:divBdr>
            <w:top w:val="none" w:sz="0" w:space="0" w:color="auto"/>
            <w:left w:val="none" w:sz="0" w:space="0" w:color="auto"/>
            <w:bottom w:val="none" w:sz="0" w:space="0" w:color="auto"/>
            <w:right w:val="none" w:sz="0" w:space="0" w:color="auto"/>
          </w:divBdr>
        </w:div>
        <w:div w:id="1848519137">
          <w:marLeft w:val="1800"/>
          <w:marRight w:val="0"/>
          <w:marTop w:val="86"/>
          <w:marBottom w:val="0"/>
          <w:divBdr>
            <w:top w:val="none" w:sz="0" w:space="0" w:color="auto"/>
            <w:left w:val="none" w:sz="0" w:space="0" w:color="auto"/>
            <w:bottom w:val="none" w:sz="0" w:space="0" w:color="auto"/>
            <w:right w:val="none" w:sz="0" w:space="0" w:color="auto"/>
          </w:divBdr>
        </w:div>
        <w:div w:id="1928267012">
          <w:marLeft w:val="1800"/>
          <w:marRight w:val="0"/>
          <w:marTop w:val="8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pinero\AppData\Roaming\Microsoft\Templates\Meeting%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Meeting Document" ma:contentTypeID="0x01010045A95EBB0E6B4F10A0543B3665DD7AAA0079F7BA720F8E5F439826B72F8B06ED59" ma:contentTypeVersion="42" ma:contentTypeDescription="Meeting Document Content Type" ma:contentTypeScope="" ma:versionID="c9fcf449410696d4f6a8bf436bc06a9b">
  <xsd:schema xmlns:xsd="http://www.w3.org/2001/XMLSchema" xmlns:xs="http://www.w3.org/2001/XMLSchema" xmlns:p="http://schemas.microsoft.com/office/2006/metadata/properties" xmlns:ns2="FF111082-EE85-4580-901D-B2F6BC5DFA2C" xmlns:ns3="ff111082-ee85-4580-901d-b2f6bc5dfa2c" xmlns:ns4="eaeb6e44-4365-46b5-8242-0e78ea891166" targetNamespace="http://schemas.microsoft.com/office/2006/metadata/properties" ma:root="true" ma:fieldsID="7c86af6e9129875aef63029c187fc950" ns2:_="" ns3:_="" ns4:_="">
    <xsd:import namespace="FF111082-EE85-4580-901D-B2F6BC5DFA2C"/>
    <xsd:import namespace="ff111082-ee85-4580-901d-b2f6bc5dfa2c"/>
    <xsd:import namespace="eaeb6e44-4365-46b5-8242-0e78ea891166"/>
    <xsd:element name="properties">
      <xsd:complexType>
        <xsd:sequence>
          <xsd:element name="documentManagement">
            <xsd:complexType>
              <xsd:all>
                <xsd:element ref="ns2:DocSymbol"/>
                <xsd:element ref="ns3:DocId"/>
                <xsd:element ref="ns3:Instruction" minOccurs="0"/>
                <xsd:element ref="ns3:Subtitle" minOccurs="0"/>
                <xsd:element ref="ns3:Session" minOccurs="0"/>
                <xsd:element ref="ns4:SubAgenda" minOccurs="0"/>
                <xsd:element ref="ns3:Agenda" minOccurs="0"/>
                <xsd:element ref="ns4:IMOBod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11082-EE85-4580-901D-B2F6BC5DFA2C" elementFormDefault="qualified">
    <xsd:import namespace="http://schemas.microsoft.com/office/2006/documentManagement/types"/>
    <xsd:import namespace="http://schemas.microsoft.com/office/infopath/2007/PartnerControls"/>
    <xsd:element name="DocSymbol" ma:index="8" ma:displayName="Document Symbol" ma:internalName="DocSymbol">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111082-ee85-4580-901d-b2f6bc5dfa2c" elementFormDefault="qualified">
    <xsd:import namespace="http://schemas.microsoft.com/office/2006/documentManagement/types"/>
    <xsd:import namespace="http://schemas.microsoft.com/office/infopath/2007/PartnerControls"/>
    <xsd:element name="DocId" ma:index="9" ma:displayName="Document ID" ma:default="794" ma:internalName="DocId" ma:percentage="FALSE">
      <xsd:simpleType>
        <xsd:restriction base="dms:Number"/>
      </xsd:simpleType>
    </xsd:element>
    <xsd:element name="Instruction" ma:index="10" nillable="true" ma:displayName="Instructions Comments" ma:internalName="Instruction">
      <xsd:simpleType>
        <xsd:restriction base="dms:Text"/>
      </xsd:simpleType>
    </xsd:element>
    <xsd:element name="Subtitle" ma:index="11" nillable="true" ma:displayName="Subtitle" ma:internalName="Subtitle">
      <xsd:simpleType>
        <xsd:restriction base="dms:Text"/>
      </xsd:simpleType>
    </xsd:element>
    <xsd:element name="Session" ma:index="12" nillable="true" ma:displayName="Session" ma:internalName="Session">
      <xsd:simpleType>
        <xsd:restriction base="dms:Number"/>
      </xsd:simpleType>
    </xsd:element>
    <xsd:element name="Agenda" ma:index="14" nillable="true" ma:displayName="Agenda Item" ma:internalName="Agenda"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aeb6e44-4365-46b5-8242-0e78ea891166" elementFormDefault="qualified">
    <xsd:import namespace="http://schemas.microsoft.com/office/2006/documentManagement/types"/>
    <xsd:import namespace="http://schemas.microsoft.com/office/infopath/2007/PartnerControls"/>
    <xsd:element name="SubAgenda" ma:index="13" nillable="true" ma:displayName="Sub Agenda Item" ma:internalName="SubAgenda">
      <xsd:simpleType>
        <xsd:restriction base="dms:Text">
          <xsd:maxLength value="255"/>
        </xsd:restriction>
      </xsd:simpleType>
    </xsd:element>
    <xsd:element name="IMOBody" ma:index="18" nillable="true" ma:displayName="Committee Code/Series" ma:internalName="IMOBod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OBody xmlns="eaeb6e44-4365-46b5-8242-0e78ea891166" xsi:nil="true"/>
    <DocId xmlns="ff111082-ee85-4580-901d-b2f6bc5dfa2c">0</DocId>
    <Session xmlns="ff111082-ee85-4580-901d-b2f6bc5dfa2c" xsi:nil="true"/>
    <SubAgenda xmlns="eaeb6e44-4365-46b5-8242-0e78ea891166" xsi:nil="true"/>
    <DocSymbol xmlns="FF111082-EE85-4580-901D-B2F6BC5DFA2C">N/A</DocSymbol>
    <Instruction xmlns="ff111082-ee85-4580-901d-b2f6bc5dfa2c" xsi:nil="true"/>
    <Subtitle xmlns="ff111082-ee85-4580-901d-b2f6bc5dfa2c" xsi:nil="true"/>
    <Agenda xmlns="ff111082-ee85-4580-901d-b2f6bc5dfa2c" xsi:nil="true"/>
  </documentManagement>
</p:properties>
</file>

<file path=customXml/itemProps1.xml><?xml version="1.0" encoding="utf-8"?>
<ds:datastoreItem xmlns:ds="http://schemas.openxmlformats.org/officeDocument/2006/customXml" ds:itemID="{90AB5EBE-C08A-4651-BF13-4C66A1115EAE}">
  <ds:schemaRefs>
    <ds:schemaRef ds:uri="http://schemas.microsoft.com/office/2006/metadata/customXsn"/>
  </ds:schemaRefs>
</ds:datastoreItem>
</file>

<file path=customXml/itemProps2.xml><?xml version="1.0" encoding="utf-8"?>
<ds:datastoreItem xmlns:ds="http://schemas.openxmlformats.org/officeDocument/2006/customXml" ds:itemID="{4B265DD7-125D-497A-9BB2-5AFE8DEB2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11082-EE85-4580-901D-B2F6BC5DFA2C"/>
    <ds:schemaRef ds:uri="ff111082-ee85-4580-901d-b2f6bc5dfa2c"/>
    <ds:schemaRef ds:uri="eaeb6e44-4365-46b5-8242-0e78ea8911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04ED99-9AEB-48A3-9D1B-3A535E6EFBCF}">
  <ds:schemaRefs>
    <ds:schemaRef ds:uri="http://schemas.microsoft.com/sharepoint/v3/contenttype/forms"/>
  </ds:schemaRefs>
</ds:datastoreItem>
</file>

<file path=customXml/itemProps4.xml><?xml version="1.0" encoding="utf-8"?>
<ds:datastoreItem xmlns:ds="http://schemas.openxmlformats.org/officeDocument/2006/customXml" ds:itemID="{8F89F644-3A9A-4506-8904-8387A31F5232}">
  <ds:schemaRefs>
    <ds:schemaRef ds:uri="http://schemas.microsoft.com/office/2006/metadata/properties"/>
    <ds:schemaRef ds:uri="http://schemas.microsoft.com/office/infopath/2007/PartnerControls"/>
    <ds:schemaRef ds:uri="eaeb6e44-4365-46b5-8242-0e78ea891166"/>
    <ds:schemaRef ds:uri="ff111082-ee85-4580-901d-b2f6bc5dfa2c"/>
    <ds:schemaRef ds:uri="FF111082-EE85-4580-901D-B2F6BC5DFA2C"/>
  </ds:schemaRefs>
</ds:datastoreItem>
</file>

<file path=docProps/app.xml><?xml version="1.0" encoding="utf-8"?>
<Properties xmlns="http://schemas.openxmlformats.org/officeDocument/2006/extended-properties" xmlns:vt="http://schemas.openxmlformats.org/officeDocument/2006/docPropsVTypes">
  <Template>Meeting (E)</Template>
  <TotalTime>6</TotalTime>
  <Pages>5</Pages>
  <Words>1341</Words>
  <Characters>7318</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Company>
  <LinksUpToDate>false</LinksUpToDate>
  <CharactersWithSpaces>8642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BPinero</dc:creator>
  <cp:keywords/>
  <cp:lastModifiedBy>Marier, François</cp:lastModifiedBy>
  <cp:revision>3</cp:revision>
  <cp:lastPrinted>2016-04-05T15:33:00Z</cp:lastPrinted>
  <dcterms:created xsi:type="dcterms:W3CDTF">2016-04-07T19:26:00Z</dcterms:created>
  <dcterms:modified xsi:type="dcterms:W3CDTF">2016-04-08T15:53:00Z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0x01010045A95EBB0E6B4F10A0543B3665DD7AAA0079F7BA720F8E5F439826B72F8B06ED59</vt:lpwstr>
  </property>
</Properties>
</file>